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4275" w14:textId="77777777" w:rsidR="002B3448" w:rsidRDefault="00000000">
      <w:pPr>
        <w:pStyle w:val="Corpsdetexte"/>
        <w:ind w:left="165"/>
        <w:rPr>
          <w:rFonts w:ascii="Times New Roman"/>
          <w:sz w:val="20"/>
        </w:rPr>
      </w:pPr>
      <w:r>
        <w:rPr>
          <w:rFonts w:ascii="Times New Roman"/>
          <w:noProof/>
          <w:sz w:val="20"/>
        </w:rPr>
        <mc:AlternateContent>
          <mc:Choice Requires="wps">
            <w:drawing>
              <wp:anchor distT="0" distB="0" distL="0" distR="0" simplePos="0" relativeHeight="15729664" behindDoc="0" locked="0" layoutInCell="1" allowOverlap="1" wp14:anchorId="609D87B6" wp14:editId="166C3DEA">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2FBD565"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519009F5" wp14:editId="1DDACE94">
            <wp:extent cx="1527695"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7695" cy="420624"/>
                    </a:xfrm>
                    <a:prstGeom prst="rect">
                      <a:avLst/>
                    </a:prstGeom>
                  </pic:spPr>
                </pic:pic>
              </a:graphicData>
            </a:graphic>
          </wp:inline>
        </w:drawing>
      </w:r>
    </w:p>
    <w:p w14:paraId="2B668841" w14:textId="77777777" w:rsidR="002B3448" w:rsidRDefault="00000000">
      <w:pPr>
        <w:spacing w:before="19"/>
        <w:ind w:right="163"/>
        <w:jc w:val="right"/>
        <w:rPr>
          <w:sz w:val="18"/>
        </w:rPr>
      </w:pPr>
      <w:r>
        <w:rPr>
          <w:noProof/>
          <w:sz w:val="18"/>
        </w:rPr>
        <mc:AlternateContent>
          <mc:Choice Requires="wps">
            <w:drawing>
              <wp:anchor distT="0" distB="0" distL="0" distR="0" simplePos="0" relativeHeight="487587840" behindDoc="1" locked="0" layoutInCell="1" allowOverlap="1" wp14:anchorId="6E33BDAF" wp14:editId="5200CC13">
                <wp:simplePos x="0" y="0"/>
                <wp:positionH relativeFrom="page">
                  <wp:posOffset>896416</wp:posOffset>
                </wp:positionH>
                <wp:positionV relativeFrom="paragraph">
                  <wp:posOffset>156082</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12.2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z w:val="18"/>
        </w:rPr>
        <w:t>DIVISION</w:t>
      </w:r>
      <w:r>
        <w:rPr>
          <w:color w:val="585858"/>
          <w:spacing w:val="-1"/>
          <w:sz w:val="18"/>
        </w:rPr>
        <w:t xml:space="preserve"> </w:t>
      </w:r>
      <w:r>
        <w:rPr>
          <w:color w:val="585858"/>
          <w:spacing w:val="-2"/>
          <w:sz w:val="18"/>
        </w:rPr>
        <w:t>D’OPPOSITION</w:t>
      </w:r>
    </w:p>
    <w:p w14:paraId="1785E1EF" w14:textId="77777777" w:rsidR="002B3448" w:rsidRDefault="002B3448">
      <w:pPr>
        <w:pStyle w:val="Corpsdetexte"/>
        <w:spacing w:before="241"/>
      </w:pPr>
    </w:p>
    <w:p w14:paraId="063949C5" w14:textId="77777777" w:rsidR="002B3448" w:rsidRDefault="00000000">
      <w:pPr>
        <w:pStyle w:val="Titre1"/>
        <w:spacing w:before="1"/>
        <w:ind w:left="5" w:right="1"/>
        <w:jc w:val="center"/>
      </w:pPr>
      <w:r>
        <w:t>Opposition</w:t>
      </w:r>
      <w:r>
        <w:rPr>
          <w:spacing w:val="-9"/>
        </w:rPr>
        <w:t xml:space="preserve"> </w:t>
      </w:r>
      <w:r>
        <w:t>NAlbanie</w:t>
      </w:r>
      <w:r>
        <w:rPr>
          <w:spacing w:val="-3"/>
        </w:rPr>
        <w:t xml:space="preserve"> </w:t>
      </w:r>
      <w:r>
        <w:t>B</w:t>
      </w:r>
      <w:r>
        <w:rPr>
          <w:spacing w:val="-4"/>
        </w:rPr>
        <w:t xml:space="preserve"> </w:t>
      </w:r>
      <w:r>
        <w:t>3</w:t>
      </w:r>
      <w:r>
        <w:rPr>
          <w:spacing w:val="-2"/>
        </w:rPr>
        <w:t xml:space="preserve"> </w:t>
      </w:r>
      <w:r>
        <w:t>204</w:t>
      </w:r>
      <w:r>
        <w:rPr>
          <w:spacing w:val="-5"/>
        </w:rPr>
        <w:t xml:space="preserve"> 893</w:t>
      </w:r>
    </w:p>
    <w:p w14:paraId="5ECFCA07" w14:textId="77777777" w:rsidR="002B3448" w:rsidRDefault="002B3448">
      <w:pPr>
        <w:pStyle w:val="Corpsdetexte"/>
        <w:rPr>
          <w:rFonts w:ascii="Arial"/>
          <w:b/>
        </w:rPr>
      </w:pPr>
    </w:p>
    <w:p w14:paraId="648668F9" w14:textId="77777777" w:rsidR="002B3448" w:rsidRDefault="00000000">
      <w:pPr>
        <w:pStyle w:val="Corpsdetexte"/>
        <w:ind w:left="165"/>
      </w:pPr>
      <w:r>
        <w:rPr>
          <w:rFonts w:ascii="Arial" w:hAnsi="Arial"/>
          <w:b/>
        </w:rPr>
        <w:t>Berluti</w:t>
      </w:r>
      <w:r>
        <w:t xml:space="preserve">, 120, rue du Faubourg Saint Honoré, 75008 Paris, France (opposante), représentée par </w:t>
      </w:r>
      <w:r>
        <w:rPr>
          <w:rFonts w:ascii="Arial" w:hAnsi="Arial"/>
          <w:b/>
        </w:rPr>
        <w:t>Caroline Main</w:t>
      </w:r>
      <w:r>
        <w:t>, 2 rue du Pont-Neuf, 75001 Paris, France (employé)</w:t>
      </w:r>
    </w:p>
    <w:p w14:paraId="13761105" w14:textId="77777777" w:rsidR="002B3448" w:rsidRDefault="00000000">
      <w:pPr>
        <w:pStyle w:val="Corpsdetexte"/>
        <w:spacing w:before="252"/>
        <w:ind w:left="4" w:right="4"/>
        <w:jc w:val="center"/>
      </w:pPr>
      <w:r>
        <w:t>un</w:t>
      </w:r>
      <w:r>
        <w:rPr>
          <w:spacing w:val="-3"/>
        </w:rPr>
        <w:t xml:space="preserve"> </w:t>
      </w:r>
      <w:r>
        <w:t>g</w:t>
      </w:r>
      <w:r>
        <w:rPr>
          <w:spacing w:val="2"/>
        </w:rPr>
        <w:t xml:space="preserve"> </w:t>
      </w:r>
      <w:r>
        <w:t>a</w:t>
      </w:r>
      <w:r>
        <w:rPr>
          <w:spacing w:val="-2"/>
        </w:rPr>
        <w:t xml:space="preserve"> </w:t>
      </w:r>
      <w:r>
        <w:t>i ns</w:t>
      </w:r>
      <w:r>
        <w:rPr>
          <w:spacing w:val="-2"/>
        </w:rPr>
        <w:t xml:space="preserve"> </w:t>
      </w:r>
      <w:r>
        <w:rPr>
          <w:spacing w:val="-10"/>
        </w:rPr>
        <w:t>t</w:t>
      </w:r>
    </w:p>
    <w:p w14:paraId="3377AA42" w14:textId="77777777" w:rsidR="002B3448" w:rsidRDefault="002B3448">
      <w:pPr>
        <w:pStyle w:val="Corpsdetexte"/>
        <w:spacing w:before="1"/>
      </w:pPr>
    </w:p>
    <w:p w14:paraId="10CB7DB9" w14:textId="77777777" w:rsidR="002B3448" w:rsidRDefault="00000000">
      <w:pPr>
        <w:pStyle w:val="Corpsdetexte"/>
        <w:ind w:left="165"/>
      </w:pPr>
      <w:r>
        <w:rPr>
          <w:rFonts w:ascii="Arial" w:hAnsi="Arial"/>
          <w:b/>
        </w:rPr>
        <w:t>MB Berlisi</w:t>
      </w:r>
      <w:r>
        <w:t>, Ukmergės G. 126, 08100 Vilnius (Lituanie), représentée par Metida</w:t>
      </w:r>
      <w:r>
        <w:rPr>
          <w:rFonts w:ascii="Arial" w:hAnsi="Arial"/>
          <w:b/>
        </w:rPr>
        <w:t xml:space="preserve">, </w:t>
      </w:r>
      <w:r>
        <w:t>Business Center Vertas Gyneju Str. 16, 01109 Vilnius, Lituanie (mandataire agréé).</w:t>
      </w:r>
    </w:p>
    <w:p w14:paraId="69A2CA37" w14:textId="77777777" w:rsidR="002B3448" w:rsidRDefault="00000000">
      <w:pPr>
        <w:pStyle w:val="Corpsdetexte"/>
        <w:spacing w:before="252"/>
        <w:ind w:left="165"/>
      </w:pPr>
      <w:r>
        <w:t>Le</w:t>
      </w:r>
      <w:r>
        <w:rPr>
          <w:spacing w:val="-6"/>
        </w:rPr>
        <w:t xml:space="preserve"> </w:t>
      </w:r>
      <w:r>
        <w:t>02/07/2024,</w:t>
      </w:r>
      <w:r>
        <w:rPr>
          <w:spacing w:val="-7"/>
        </w:rPr>
        <w:t xml:space="preserve"> </w:t>
      </w:r>
      <w:r>
        <w:t>la</w:t>
      </w:r>
      <w:r>
        <w:rPr>
          <w:spacing w:val="-5"/>
        </w:rPr>
        <w:t xml:space="preserve"> </w:t>
      </w:r>
      <w:r>
        <w:t>division</w:t>
      </w:r>
      <w:r>
        <w:rPr>
          <w:spacing w:val="-6"/>
        </w:rPr>
        <w:t xml:space="preserve"> </w:t>
      </w:r>
      <w:r>
        <w:t>d’opposition</w:t>
      </w:r>
      <w:r>
        <w:rPr>
          <w:spacing w:val="-5"/>
        </w:rPr>
        <w:t xml:space="preserve"> </w:t>
      </w:r>
      <w:r>
        <w:t>rend</w:t>
      </w:r>
      <w:r>
        <w:rPr>
          <w:spacing w:val="-8"/>
        </w:rPr>
        <w:t xml:space="preserve"> </w:t>
      </w:r>
      <w:r>
        <w:t>la</w:t>
      </w:r>
      <w:r>
        <w:rPr>
          <w:spacing w:val="-5"/>
        </w:rPr>
        <w:t xml:space="preserve"> </w:t>
      </w:r>
      <w:r>
        <w:rPr>
          <w:spacing w:val="-2"/>
        </w:rPr>
        <w:t>présente</w:t>
      </w:r>
    </w:p>
    <w:p w14:paraId="2534A009" w14:textId="77777777" w:rsidR="002B3448" w:rsidRDefault="002B3448">
      <w:pPr>
        <w:pStyle w:val="Corpsdetexte"/>
      </w:pPr>
    </w:p>
    <w:p w14:paraId="6EEC3D01" w14:textId="77777777" w:rsidR="002B3448" w:rsidRDefault="002B3448">
      <w:pPr>
        <w:pStyle w:val="Corpsdetexte"/>
      </w:pPr>
    </w:p>
    <w:p w14:paraId="77ED30FE" w14:textId="77777777" w:rsidR="002B3448" w:rsidRDefault="00000000">
      <w:pPr>
        <w:pStyle w:val="Titre1"/>
        <w:ind w:right="4"/>
        <w:jc w:val="center"/>
      </w:pPr>
      <w:r>
        <w:rPr>
          <w:spacing w:val="-2"/>
        </w:rPr>
        <w:t>DÉCISION:</w:t>
      </w:r>
    </w:p>
    <w:p w14:paraId="617D7430" w14:textId="77777777" w:rsidR="002B3448" w:rsidRDefault="002B3448">
      <w:pPr>
        <w:pStyle w:val="Corpsdetexte"/>
        <w:spacing w:before="45"/>
        <w:rPr>
          <w:rFonts w:ascii="Arial"/>
          <w:b/>
          <w:sz w:val="20"/>
        </w:rPr>
      </w:pPr>
    </w:p>
    <w:tbl>
      <w:tblPr>
        <w:tblStyle w:val="TableNormal"/>
        <w:tblW w:w="0" w:type="auto"/>
        <w:tblInd w:w="122" w:type="dxa"/>
        <w:tblLayout w:type="fixed"/>
        <w:tblLook w:val="01E0" w:firstRow="1" w:lastRow="1" w:firstColumn="1" w:lastColumn="1" w:noHBand="0" w:noVBand="0"/>
      </w:tblPr>
      <w:tblGrid>
        <w:gridCol w:w="401"/>
        <w:gridCol w:w="8725"/>
      </w:tblGrid>
      <w:tr w:rsidR="002B3448" w14:paraId="36FD9FFD" w14:textId="77777777">
        <w:trPr>
          <w:trHeight w:val="501"/>
        </w:trPr>
        <w:tc>
          <w:tcPr>
            <w:tcW w:w="401" w:type="dxa"/>
          </w:tcPr>
          <w:p w14:paraId="24DF2F47" w14:textId="77777777" w:rsidR="002B3448" w:rsidRDefault="00000000">
            <w:pPr>
              <w:pStyle w:val="TableParagraph"/>
              <w:spacing w:line="247" w:lineRule="exact"/>
              <w:ind w:left="50"/>
              <w:rPr>
                <w:b/>
              </w:rPr>
            </w:pPr>
            <w:r>
              <w:rPr>
                <w:b/>
                <w:spacing w:val="-5"/>
              </w:rPr>
              <w:t>1.</w:t>
            </w:r>
          </w:p>
        </w:tc>
        <w:tc>
          <w:tcPr>
            <w:tcW w:w="8725" w:type="dxa"/>
          </w:tcPr>
          <w:p w14:paraId="21258878" w14:textId="77777777" w:rsidR="002B3448" w:rsidRDefault="00000000">
            <w:pPr>
              <w:pStyle w:val="TableParagraph"/>
              <w:spacing w:line="247" w:lineRule="exact"/>
              <w:ind w:left="167"/>
              <w:rPr>
                <w:rFonts w:ascii="Arial MT" w:hAnsi="Arial MT"/>
              </w:rPr>
            </w:pPr>
            <w:r>
              <w:rPr>
                <w:rFonts w:ascii="Arial MT" w:hAnsi="Arial MT"/>
              </w:rPr>
              <w:t>L’opposition</w:t>
            </w:r>
            <w:r>
              <w:rPr>
                <w:rFonts w:ascii="Arial MT" w:hAnsi="Arial MT"/>
                <w:spacing w:val="21"/>
              </w:rPr>
              <w:t xml:space="preserve"> </w:t>
            </w:r>
            <w:r>
              <w:rPr>
                <w:rFonts w:ascii="Arial MT" w:hAnsi="Arial MT"/>
              </w:rPr>
              <w:t>no</w:t>
            </w:r>
            <w:r>
              <w:rPr>
                <w:rFonts w:ascii="Arial MT" w:hAnsi="Arial MT"/>
                <w:spacing w:val="21"/>
              </w:rPr>
              <w:t xml:space="preserve"> </w:t>
            </w:r>
            <w:r>
              <w:rPr>
                <w:rFonts w:ascii="Arial MT" w:hAnsi="Arial MT"/>
              </w:rPr>
              <w:t>B</w:t>
            </w:r>
            <w:r>
              <w:rPr>
                <w:rFonts w:ascii="Arial MT" w:hAnsi="Arial MT"/>
                <w:spacing w:val="22"/>
              </w:rPr>
              <w:t xml:space="preserve"> </w:t>
            </w:r>
            <w:r>
              <w:rPr>
                <w:rFonts w:ascii="Arial MT" w:hAnsi="Arial MT"/>
              </w:rPr>
              <w:t>3</w:t>
            </w:r>
            <w:r>
              <w:rPr>
                <w:rFonts w:ascii="Arial MT" w:hAnsi="Arial MT"/>
                <w:spacing w:val="-5"/>
              </w:rPr>
              <w:t xml:space="preserve"> </w:t>
            </w:r>
            <w:r>
              <w:rPr>
                <w:rFonts w:ascii="Arial MT" w:hAnsi="Arial MT"/>
              </w:rPr>
              <w:t>204</w:t>
            </w:r>
            <w:r>
              <w:rPr>
                <w:rFonts w:ascii="Arial MT" w:hAnsi="Arial MT"/>
                <w:spacing w:val="-7"/>
              </w:rPr>
              <w:t xml:space="preserve"> </w:t>
            </w:r>
            <w:r>
              <w:rPr>
                <w:rFonts w:ascii="Arial MT" w:hAnsi="Arial MT"/>
              </w:rPr>
              <w:t>893</w:t>
            </w:r>
            <w:r>
              <w:rPr>
                <w:rFonts w:ascii="Arial MT" w:hAnsi="Arial MT"/>
                <w:spacing w:val="23"/>
              </w:rPr>
              <w:t xml:space="preserve"> </w:t>
            </w:r>
            <w:r>
              <w:rPr>
                <w:rFonts w:ascii="Arial MT" w:hAnsi="Arial MT"/>
              </w:rPr>
              <w:t>est</w:t>
            </w:r>
            <w:r>
              <w:rPr>
                <w:rFonts w:ascii="Arial MT" w:hAnsi="Arial MT"/>
                <w:spacing w:val="20"/>
              </w:rPr>
              <w:t xml:space="preserve"> </w:t>
            </w:r>
            <w:r>
              <w:rPr>
                <w:rFonts w:ascii="Arial MT" w:hAnsi="Arial MT"/>
              </w:rPr>
              <w:t>partiellement</w:t>
            </w:r>
            <w:r>
              <w:rPr>
                <w:rFonts w:ascii="Arial MT" w:hAnsi="Arial MT"/>
                <w:spacing w:val="21"/>
              </w:rPr>
              <w:t xml:space="preserve"> </w:t>
            </w:r>
            <w:r>
              <w:rPr>
                <w:rFonts w:ascii="Arial MT" w:hAnsi="Arial MT"/>
              </w:rPr>
              <w:t>accueillie,</w:t>
            </w:r>
            <w:r>
              <w:rPr>
                <w:rFonts w:ascii="Arial MT" w:hAnsi="Arial MT"/>
                <w:spacing w:val="23"/>
              </w:rPr>
              <w:t xml:space="preserve"> </w:t>
            </w:r>
            <w:r>
              <w:rPr>
                <w:rFonts w:ascii="Arial MT" w:hAnsi="Arial MT"/>
              </w:rPr>
              <w:t>à</w:t>
            </w:r>
            <w:r>
              <w:rPr>
                <w:rFonts w:ascii="Arial MT" w:hAnsi="Arial MT"/>
                <w:spacing w:val="22"/>
              </w:rPr>
              <w:t xml:space="preserve"> </w:t>
            </w:r>
            <w:r>
              <w:rPr>
                <w:rFonts w:ascii="Arial MT" w:hAnsi="Arial MT"/>
              </w:rPr>
              <w:t>savoir</w:t>
            </w:r>
            <w:r>
              <w:rPr>
                <w:rFonts w:ascii="Arial MT" w:hAnsi="Arial MT"/>
                <w:spacing w:val="23"/>
              </w:rPr>
              <w:t xml:space="preserve"> </w:t>
            </w:r>
            <w:r>
              <w:rPr>
                <w:rFonts w:ascii="Arial MT" w:hAnsi="Arial MT"/>
              </w:rPr>
              <w:t>pour</w:t>
            </w:r>
            <w:r>
              <w:rPr>
                <w:rFonts w:ascii="Arial MT" w:hAnsi="Arial MT"/>
                <w:spacing w:val="21"/>
              </w:rPr>
              <w:t xml:space="preserve"> </w:t>
            </w:r>
            <w:r>
              <w:rPr>
                <w:rFonts w:ascii="Arial MT" w:hAnsi="Arial MT"/>
              </w:rPr>
              <w:t>les</w:t>
            </w:r>
            <w:r>
              <w:rPr>
                <w:rFonts w:ascii="Arial MT" w:hAnsi="Arial MT"/>
                <w:spacing w:val="22"/>
              </w:rPr>
              <w:t xml:space="preserve"> </w:t>
            </w:r>
            <w:r>
              <w:rPr>
                <w:rFonts w:ascii="Arial MT" w:hAnsi="Arial MT"/>
              </w:rPr>
              <w:t>produits</w:t>
            </w:r>
            <w:r>
              <w:rPr>
                <w:rFonts w:ascii="Arial MT" w:hAnsi="Arial MT"/>
                <w:spacing w:val="23"/>
              </w:rPr>
              <w:t xml:space="preserve"> </w:t>
            </w:r>
            <w:r>
              <w:rPr>
                <w:rFonts w:ascii="Arial MT" w:hAnsi="Arial MT"/>
                <w:spacing w:val="-5"/>
              </w:rPr>
              <w:t>et</w:t>
            </w:r>
          </w:p>
          <w:p w14:paraId="37F1169F" w14:textId="77777777" w:rsidR="002B3448" w:rsidRDefault="00000000">
            <w:pPr>
              <w:pStyle w:val="TableParagraph"/>
              <w:spacing w:before="1" w:line="233" w:lineRule="exact"/>
              <w:ind w:left="167"/>
              <w:rPr>
                <w:rFonts w:ascii="Arial MT" w:hAnsi="Arial MT"/>
              </w:rPr>
            </w:pPr>
            <w:r>
              <w:rPr>
                <w:rFonts w:ascii="Arial MT" w:hAnsi="Arial MT"/>
              </w:rPr>
              <w:t>services</w:t>
            </w:r>
            <w:r>
              <w:rPr>
                <w:rFonts w:ascii="Arial MT" w:hAnsi="Arial MT"/>
                <w:spacing w:val="-4"/>
              </w:rPr>
              <w:t xml:space="preserve"> </w:t>
            </w:r>
            <w:r>
              <w:rPr>
                <w:rFonts w:ascii="Arial MT" w:hAnsi="Arial MT"/>
              </w:rPr>
              <w:t>contestés</w:t>
            </w:r>
            <w:r>
              <w:rPr>
                <w:rFonts w:ascii="Arial MT" w:hAnsi="Arial MT"/>
                <w:spacing w:val="-5"/>
              </w:rPr>
              <w:t xml:space="preserve"> </w:t>
            </w:r>
            <w:r>
              <w:rPr>
                <w:rFonts w:ascii="Arial MT" w:hAnsi="Arial MT"/>
                <w:spacing w:val="-2"/>
              </w:rPr>
              <w:t>suivants:</w:t>
            </w:r>
          </w:p>
        </w:tc>
      </w:tr>
    </w:tbl>
    <w:p w14:paraId="3AEF78AA" w14:textId="77777777" w:rsidR="002B3448" w:rsidRDefault="002B3448">
      <w:pPr>
        <w:pStyle w:val="Corpsdetexte"/>
        <w:spacing w:before="58"/>
        <w:rPr>
          <w:rFonts w:ascii="Arial"/>
          <w:b/>
          <w:sz w:val="20"/>
        </w:rPr>
      </w:pPr>
    </w:p>
    <w:tbl>
      <w:tblPr>
        <w:tblStyle w:val="TableNormal"/>
        <w:tblW w:w="0" w:type="auto"/>
        <w:tblInd w:w="122" w:type="dxa"/>
        <w:tblLayout w:type="fixed"/>
        <w:tblLook w:val="01E0" w:firstRow="1" w:lastRow="1" w:firstColumn="1" w:lastColumn="1" w:noHBand="0" w:noVBand="0"/>
      </w:tblPr>
      <w:tblGrid>
        <w:gridCol w:w="384"/>
        <w:gridCol w:w="8745"/>
      </w:tblGrid>
      <w:tr w:rsidR="002B3448" w14:paraId="7F779257" w14:textId="77777777">
        <w:trPr>
          <w:trHeight w:val="3427"/>
        </w:trPr>
        <w:tc>
          <w:tcPr>
            <w:tcW w:w="384" w:type="dxa"/>
          </w:tcPr>
          <w:p w14:paraId="0FF4DDBD" w14:textId="77777777" w:rsidR="002B3448" w:rsidRDefault="002B3448">
            <w:pPr>
              <w:pStyle w:val="TableParagraph"/>
              <w:rPr>
                <w:rFonts w:ascii="Times New Roman"/>
                <w:sz w:val="20"/>
              </w:rPr>
            </w:pPr>
          </w:p>
        </w:tc>
        <w:tc>
          <w:tcPr>
            <w:tcW w:w="8745" w:type="dxa"/>
          </w:tcPr>
          <w:p w14:paraId="3FEB562E" w14:textId="77777777" w:rsidR="002B3448" w:rsidRDefault="00000000">
            <w:pPr>
              <w:pStyle w:val="TableParagraph"/>
              <w:spacing w:line="247" w:lineRule="exact"/>
              <w:ind w:left="136"/>
              <w:jc w:val="both"/>
              <w:rPr>
                <w:rFonts w:ascii="Arial MT"/>
              </w:rPr>
            </w:pPr>
            <w:r>
              <w:rPr>
                <w:rFonts w:ascii="Arial MT"/>
              </w:rPr>
              <w:t>Classe</w:t>
            </w:r>
            <w:r>
              <w:rPr>
                <w:rFonts w:ascii="Arial MT"/>
                <w:spacing w:val="-5"/>
              </w:rPr>
              <w:t xml:space="preserve"> </w:t>
            </w:r>
            <w:r>
              <w:rPr>
                <w:rFonts w:ascii="Arial MT"/>
              </w:rPr>
              <w:t>25:</w:t>
            </w:r>
            <w:r>
              <w:rPr>
                <w:rFonts w:ascii="Arial MT"/>
                <w:spacing w:val="-5"/>
              </w:rPr>
              <w:t xml:space="preserve"> </w:t>
            </w:r>
            <w:r>
              <w:rPr>
                <w:rFonts w:ascii="Arial MT"/>
              </w:rPr>
              <w:t>Tous</w:t>
            </w:r>
            <w:r>
              <w:rPr>
                <w:rFonts w:ascii="Arial MT"/>
                <w:spacing w:val="-4"/>
              </w:rPr>
              <w:t xml:space="preserve"> </w:t>
            </w:r>
            <w:r>
              <w:rPr>
                <w:rFonts w:ascii="Arial MT"/>
              </w:rPr>
              <w:t>les</w:t>
            </w:r>
            <w:r>
              <w:rPr>
                <w:rFonts w:ascii="Arial MT"/>
                <w:spacing w:val="-4"/>
              </w:rPr>
              <w:t xml:space="preserve"> </w:t>
            </w:r>
            <w:r>
              <w:rPr>
                <w:rFonts w:ascii="Arial MT"/>
              </w:rPr>
              <w:t>produits</w:t>
            </w:r>
            <w:r>
              <w:rPr>
                <w:rFonts w:ascii="Arial MT"/>
                <w:spacing w:val="-4"/>
              </w:rPr>
              <w:t xml:space="preserve"> </w:t>
            </w:r>
            <w:r>
              <w:rPr>
                <w:rFonts w:ascii="Arial MT"/>
              </w:rPr>
              <w:t>compris</w:t>
            </w:r>
            <w:r>
              <w:rPr>
                <w:rFonts w:ascii="Arial MT"/>
                <w:spacing w:val="-6"/>
              </w:rPr>
              <w:t xml:space="preserve"> </w:t>
            </w:r>
            <w:r>
              <w:rPr>
                <w:rFonts w:ascii="Arial MT"/>
              </w:rPr>
              <w:t>dans</w:t>
            </w:r>
            <w:r>
              <w:rPr>
                <w:rFonts w:ascii="Arial MT"/>
                <w:spacing w:val="-4"/>
              </w:rPr>
              <w:t xml:space="preserve"> </w:t>
            </w:r>
            <w:r>
              <w:rPr>
                <w:rFonts w:ascii="Arial MT"/>
              </w:rPr>
              <w:t>cette</w:t>
            </w:r>
            <w:r>
              <w:rPr>
                <w:rFonts w:ascii="Arial MT"/>
                <w:spacing w:val="-6"/>
              </w:rPr>
              <w:t xml:space="preserve"> </w:t>
            </w:r>
            <w:r>
              <w:rPr>
                <w:rFonts w:ascii="Arial MT"/>
                <w:spacing w:val="-2"/>
              </w:rPr>
              <w:t>classe.</w:t>
            </w:r>
          </w:p>
          <w:p w14:paraId="4255F73B" w14:textId="77777777" w:rsidR="002B3448" w:rsidRDefault="002B3448">
            <w:pPr>
              <w:pStyle w:val="TableParagraph"/>
              <w:rPr>
                <w:b/>
              </w:rPr>
            </w:pPr>
          </w:p>
          <w:p w14:paraId="76FA6813" w14:textId="77777777" w:rsidR="002B3448" w:rsidRDefault="00000000">
            <w:pPr>
              <w:pStyle w:val="TableParagraph"/>
              <w:ind w:left="136" w:right="48"/>
              <w:jc w:val="both"/>
              <w:rPr>
                <w:i/>
              </w:rPr>
            </w:pPr>
            <w:r>
              <w:rPr>
                <w:rFonts w:ascii="Arial MT" w:hAnsi="Arial MT"/>
              </w:rPr>
              <w:t>Classe 35: Services de</w:t>
            </w:r>
            <w:r>
              <w:rPr>
                <w:i/>
              </w:rPr>
              <w:t>vente en</w:t>
            </w:r>
            <w:r>
              <w:rPr>
                <w:i/>
                <w:spacing w:val="-1"/>
              </w:rPr>
              <w:t xml:space="preserve"> </w:t>
            </w:r>
            <w:r>
              <w:rPr>
                <w:i/>
              </w:rPr>
              <w:t>gros en</w:t>
            </w:r>
            <w:r>
              <w:rPr>
                <w:i/>
                <w:spacing w:val="-3"/>
              </w:rPr>
              <w:t xml:space="preserve"> </w:t>
            </w:r>
            <w:r>
              <w:rPr>
                <w:i/>
              </w:rPr>
              <w:t>rapport avec des vêtements; services de</w:t>
            </w:r>
            <w:r>
              <w:rPr>
                <w:i/>
                <w:spacing w:val="-1"/>
              </w:rPr>
              <w:t xml:space="preserve"> </w:t>
            </w:r>
            <w:r>
              <w:rPr>
                <w:i/>
              </w:rPr>
              <w:t>vente en gros concernant les vêtements; services de vente au détail concernant les accessoires</w:t>
            </w:r>
            <w:r>
              <w:rPr>
                <w:i/>
                <w:spacing w:val="-3"/>
              </w:rPr>
              <w:t xml:space="preserve"> </w:t>
            </w:r>
            <w:r>
              <w:rPr>
                <w:i/>
              </w:rPr>
              <w:t>vestimentaires;</w:t>
            </w:r>
            <w:r>
              <w:rPr>
                <w:i/>
                <w:spacing w:val="-2"/>
              </w:rPr>
              <w:t xml:space="preserve"> </w:t>
            </w:r>
            <w:r>
              <w:rPr>
                <w:i/>
              </w:rPr>
              <w:t>services</w:t>
            </w:r>
            <w:r>
              <w:rPr>
                <w:i/>
                <w:spacing w:val="-3"/>
              </w:rPr>
              <w:t xml:space="preserve"> </w:t>
            </w:r>
            <w:r>
              <w:rPr>
                <w:i/>
              </w:rPr>
              <w:t>en</w:t>
            </w:r>
            <w:r>
              <w:rPr>
                <w:i/>
                <w:spacing w:val="-3"/>
              </w:rPr>
              <w:t xml:space="preserve"> </w:t>
            </w:r>
            <w:r>
              <w:rPr>
                <w:i/>
              </w:rPr>
              <w:t>ligne</w:t>
            </w:r>
            <w:r>
              <w:rPr>
                <w:i/>
                <w:spacing w:val="-3"/>
              </w:rPr>
              <w:t xml:space="preserve"> </w:t>
            </w:r>
            <w:r>
              <w:rPr>
                <w:i/>
              </w:rPr>
              <w:t>de</w:t>
            </w:r>
            <w:r>
              <w:rPr>
                <w:i/>
                <w:spacing w:val="-5"/>
              </w:rPr>
              <w:t xml:space="preserve"> </w:t>
            </w:r>
            <w:r>
              <w:rPr>
                <w:i/>
              </w:rPr>
              <w:t>magasins</w:t>
            </w:r>
            <w:r>
              <w:rPr>
                <w:i/>
                <w:spacing w:val="-3"/>
              </w:rPr>
              <w:t xml:space="preserve"> </w:t>
            </w:r>
            <w:r>
              <w:rPr>
                <w:i/>
              </w:rPr>
              <w:t>de</w:t>
            </w:r>
            <w:r>
              <w:rPr>
                <w:i/>
                <w:spacing w:val="-3"/>
              </w:rPr>
              <w:t xml:space="preserve"> </w:t>
            </w:r>
            <w:r>
              <w:rPr>
                <w:i/>
              </w:rPr>
              <w:t>vente</w:t>
            </w:r>
            <w:r>
              <w:rPr>
                <w:i/>
                <w:spacing w:val="-3"/>
              </w:rPr>
              <w:t xml:space="preserve"> </w:t>
            </w:r>
            <w:r>
              <w:rPr>
                <w:i/>
              </w:rPr>
              <w:t>au</w:t>
            </w:r>
            <w:r>
              <w:rPr>
                <w:i/>
                <w:spacing w:val="-3"/>
              </w:rPr>
              <w:t xml:space="preserve"> </w:t>
            </w:r>
            <w:r>
              <w:rPr>
                <w:i/>
              </w:rPr>
              <w:t>détail</w:t>
            </w:r>
            <w:r>
              <w:rPr>
                <w:i/>
                <w:spacing w:val="-3"/>
              </w:rPr>
              <w:t xml:space="preserve"> </w:t>
            </w:r>
            <w:r>
              <w:rPr>
                <w:i/>
              </w:rPr>
              <w:t>proposant des vêtements; services de vente au détail par correspondance de vêtements; services de vente au détail en ligne de vêtements; services de vente au détail de vêtements et d’accessoires vestimentaires; services de vente au détail concernant la chapellerie; services de vente en gros concernant la chapellerie; services de vente au détail concernant les chaussures; services de vente en gros concernant les chaussures; services de vente au détail en ligne d’articles de bijouterie; services de vente en gros concernant les bijoux; services de vente au détail concernant les bijoux; services de vente au détail en ligne de sacs à main.</w:t>
            </w:r>
          </w:p>
        </w:tc>
      </w:tr>
      <w:tr w:rsidR="002B3448" w14:paraId="66CA0158" w14:textId="77777777">
        <w:trPr>
          <w:trHeight w:val="897"/>
        </w:trPr>
        <w:tc>
          <w:tcPr>
            <w:tcW w:w="384" w:type="dxa"/>
          </w:tcPr>
          <w:p w14:paraId="2936141C" w14:textId="77777777" w:rsidR="002B3448" w:rsidRDefault="00000000">
            <w:pPr>
              <w:pStyle w:val="TableParagraph"/>
              <w:spacing w:before="137"/>
              <w:ind w:left="50"/>
              <w:rPr>
                <w:b/>
              </w:rPr>
            </w:pPr>
            <w:r>
              <w:rPr>
                <w:b/>
                <w:spacing w:val="-5"/>
              </w:rPr>
              <w:t>2.</w:t>
            </w:r>
          </w:p>
        </w:tc>
        <w:tc>
          <w:tcPr>
            <w:tcW w:w="8745" w:type="dxa"/>
          </w:tcPr>
          <w:p w14:paraId="1AAE3D6E" w14:textId="77777777" w:rsidR="002B3448" w:rsidRDefault="00000000">
            <w:pPr>
              <w:pStyle w:val="TableParagraph"/>
              <w:spacing w:before="137"/>
              <w:ind w:left="150"/>
              <w:rPr>
                <w:rFonts w:ascii="Arial MT" w:hAnsi="Arial MT"/>
              </w:rPr>
            </w:pPr>
            <w:r>
              <w:rPr>
                <w:rFonts w:ascii="Arial MT" w:hAnsi="Arial MT"/>
              </w:rPr>
              <w:t>La</w:t>
            </w:r>
            <w:r>
              <w:rPr>
                <w:rFonts w:ascii="Arial MT" w:hAnsi="Arial MT"/>
                <w:spacing w:val="-1"/>
              </w:rPr>
              <w:t xml:space="preserve"> </w:t>
            </w:r>
            <w:r>
              <w:rPr>
                <w:rFonts w:ascii="Arial MT" w:hAnsi="Arial MT"/>
              </w:rPr>
              <w:t>demande</w:t>
            </w:r>
            <w:r>
              <w:rPr>
                <w:rFonts w:ascii="Arial MT" w:hAnsi="Arial MT"/>
                <w:spacing w:val="2"/>
              </w:rPr>
              <w:t xml:space="preserve"> </w:t>
            </w:r>
            <w:r>
              <w:rPr>
                <w:rFonts w:ascii="Arial MT" w:hAnsi="Arial MT"/>
              </w:rPr>
              <w:t>de</w:t>
            </w:r>
            <w:r>
              <w:rPr>
                <w:rFonts w:ascii="Arial MT" w:hAnsi="Arial MT"/>
                <w:spacing w:val="-4"/>
              </w:rPr>
              <w:t xml:space="preserve"> </w:t>
            </w:r>
            <w:r>
              <w:rPr>
                <w:rFonts w:ascii="Arial MT" w:hAnsi="Arial MT"/>
              </w:rPr>
              <w:t>marque</w:t>
            </w:r>
            <w:r>
              <w:rPr>
                <w:rFonts w:ascii="Arial MT" w:hAnsi="Arial MT"/>
                <w:spacing w:val="-3"/>
              </w:rPr>
              <w:t xml:space="preserve"> </w:t>
            </w:r>
            <w:r>
              <w:rPr>
                <w:rFonts w:ascii="Arial MT" w:hAnsi="Arial MT"/>
              </w:rPr>
              <w:t>de</w:t>
            </w:r>
            <w:r>
              <w:rPr>
                <w:rFonts w:ascii="Arial MT" w:hAnsi="Arial MT"/>
                <w:spacing w:val="2"/>
              </w:rPr>
              <w:t xml:space="preserve"> </w:t>
            </w:r>
            <w:r>
              <w:rPr>
                <w:rFonts w:ascii="Arial MT" w:hAnsi="Arial MT"/>
              </w:rPr>
              <w:t>l’Union</w:t>
            </w:r>
            <w:r>
              <w:rPr>
                <w:rFonts w:ascii="Arial MT" w:hAnsi="Arial MT"/>
                <w:spacing w:val="1"/>
              </w:rPr>
              <w:t xml:space="preserve"> </w:t>
            </w:r>
            <w:r>
              <w:rPr>
                <w:rFonts w:ascii="Arial MT" w:hAnsi="Arial MT"/>
              </w:rPr>
              <w:t>européenne</w:t>
            </w:r>
            <w:r>
              <w:rPr>
                <w:rFonts w:ascii="Arial MT" w:hAnsi="Arial MT"/>
                <w:spacing w:val="-1"/>
              </w:rPr>
              <w:t xml:space="preserve"> </w:t>
            </w:r>
            <w:r>
              <w:rPr>
                <w:rFonts w:ascii="Arial MT" w:hAnsi="Arial MT"/>
              </w:rPr>
              <w:t>no</w:t>
            </w:r>
            <w:r>
              <w:rPr>
                <w:rFonts w:ascii="Arial MT" w:hAnsi="Arial MT"/>
                <w:spacing w:val="2"/>
              </w:rPr>
              <w:t xml:space="preserve"> </w:t>
            </w:r>
            <w:r>
              <w:rPr>
                <w:rFonts w:ascii="Arial MT" w:hAnsi="Arial MT"/>
              </w:rPr>
              <w:t>18 904</w:t>
            </w:r>
            <w:r>
              <w:rPr>
                <w:rFonts w:ascii="Arial MT" w:hAnsi="Arial MT"/>
                <w:spacing w:val="-5"/>
              </w:rPr>
              <w:t xml:space="preserve"> </w:t>
            </w:r>
            <w:r>
              <w:rPr>
                <w:rFonts w:ascii="Arial MT" w:hAnsi="Arial MT"/>
              </w:rPr>
              <w:t>538</w:t>
            </w:r>
            <w:r>
              <w:rPr>
                <w:rFonts w:ascii="Arial MT" w:hAnsi="Arial MT"/>
                <w:spacing w:val="-1"/>
              </w:rPr>
              <w:t xml:space="preserve"> </w:t>
            </w:r>
            <w:r>
              <w:rPr>
                <w:rFonts w:ascii="Arial MT" w:hAnsi="Arial MT"/>
              </w:rPr>
              <w:t>est rejetée</w:t>
            </w:r>
            <w:r>
              <w:rPr>
                <w:rFonts w:ascii="Arial MT" w:hAnsi="Arial MT"/>
                <w:spacing w:val="-3"/>
              </w:rPr>
              <w:t xml:space="preserve"> </w:t>
            </w:r>
            <w:r>
              <w:rPr>
                <w:rFonts w:ascii="Arial MT" w:hAnsi="Arial MT"/>
              </w:rPr>
              <w:t>pour</w:t>
            </w:r>
            <w:r>
              <w:rPr>
                <w:rFonts w:ascii="Arial MT" w:hAnsi="Arial MT"/>
                <w:spacing w:val="1"/>
              </w:rPr>
              <w:t xml:space="preserve"> </w:t>
            </w:r>
            <w:r>
              <w:rPr>
                <w:rFonts w:ascii="Arial MT" w:hAnsi="Arial MT"/>
              </w:rPr>
              <w:t xml:space="preserve">tous </w:t>
            </w:r>
            <w:r>
              <w:rPr>
                <w:rFonts w:ascii="Arial MT" w:hAnsi="Arial MT"/>
                <w:spacing w:val="-5"/>
              </w:rPr>
              <w:t>les</w:t>
            </w:r>
          </w:p>
          <w:p w14:paraId="297774D6" w14:textId="77777777" w:rsidR="002B3448" w:rsidRDefault="00000000">
            <w:pPr>
              <w:pStyle w:val="TableParagraph"/>
              <w:spacing w:line="252" w:lineRule="exact"/>
              <w:ind w:left="150"/>
              <w:rPr>
                <w:rFonts w:ascii="Arial MT" w:hAnsi="Arial MT"/>
              </w:rPr>
            </w:pPr>
            <w:r>
              <w:rPr>
                <w:rFonts w:ascii="Arial MT" w:hAnsi="Arial MT"/>
              </w:rPr>
              <w:t>produits</w:t>
            </w:r>
            <w:r>
              <w:rPr>
                <w:rFonts w:ascii="Arial MT" w:hAnsi="Arial MT"/>
                <w:spacing w:val="34"/>
              </w:rPr>
              <w:t xml:space="preserve"> </w:t>
            </w:r>
            <w:r>
              <w:rPr>
                <w:rFonts w:ascii="Arial MT" w:hAnsi="Arial MT"/>
              </w:rPr>
              <w:t>et</w:t>
            </w:r>
            <w:r>
              <w:rPr>
                <w:rFonts w:ascii="Arial MT" w:hAnsi="Arial MT"/>
                <w:spacing w:val="32"/>
              </w:rPr>
              <w:t xml:space="preserve"> </w:t>
            </w:r>
            <w:r>
              <w:rPr>
                <w:rFonts w:ascii="Arial MT" w:hAnsi="Arial MT"/>
              </w:rPr>
              <w:t>services</w:t>
            </w:r>
            <w:r>
              <w:rPr>
                <w:rFonts w:ascii="Arial MT" w:hAnsi="Arial MT"/>
                <w:spacing w:val="33"/>
              </w:rPr>
              <w:t xml:space="preserve"> </w:t>
            </w:r>
            <w:r>
              <w:rPr>
                <w:rFonts w:ascii="Arial MT" w:hAnsi="Arial MT"/>
              </w:rPr>
              <w:t>susmentionnés,</w:t>
            </w:r>
            <w:r>
              <w:rPr>
                <w:rFonts w:ascii="Arial MT" w:hAnsi="Arial MT"/>
                <w:spacing w:val="34"/>
              </w:rPr>
              <w:t xml:space="preserve"> </w:t>
            </w:r>
            <w:r>
              <w:rPr>
                <w:rFonts w:ascii="Arial MT" w:hAnsi="Arial MT"/>
              </w:rPr>
              <w:t>comme</w:t>
            </w:r>
            <w:r>
              <w:rPr>
                <w:rFonts w:ascii="Arial MT" w:hAnsi="Arial MT"/>
                <w:spacing w:val="33"/>
              </w:rPr>
              <w:t xml:space="preserve"> </w:t>
            </w:r>
            <w:r>
              <w:rPr>
                <w:rFonts w:ascii="Arial MT" w:hAnsi="Arial MT"/>
              </w:rPr>
              <w:t>indiqué</w:t>
            </w:r>
            <w:r>
              <w:rPr>
                <w:rFonts w:ascii="Arial MT" w:hAnsi="Arial MT"/>
                <w:spacing w:val="33"/>
              </w:rPr>
              <w:t xml:space="preserve"> </w:t>
            </w:r>
            <w:r>
              <w:rPr>
                <w:rFonts w:ascii="Arial MT" w:hAnsi="Arial MT"/>
              </w:rPr>
              <w:t>au</w:t>
            </w:r>
            <w:r>
              <w:rPr>
                <w:rFonts w:ascii="Arial MT" w:hAnsi="Arial MT"/>
                <w:spacing w:val="30"/>
              </w:rPr>
              <w:t xml:space="preserve"> </w:t>
            </w:r>
            <w:r>
              <w:rPr>
                <w:rFonts w:ascii="Arial MT" w:hAnsi="Arial MT"/>
              </w:rPr>
              <w:t>point</w:t>
            </w:r>
            <w:r>
              <w:rPr>
                <w:rFonts w:ascii="Arial MT" w:hAnsi="Arial MT"/>
                <w:spacing w:val="34"/>
              </w:rPr>
              <w:t xml:space="preserve"> </w:t>
            </w:r>
            <w:r>
              <w:rPr>
                <w:rFonts w:ascii="Arial MT" w:hAnsi="Arial MT"/>
              </w:rPr>
              <w:t>1</w:t>
            </w:r>
            <w:r>
              <w:rPr>
                <w:rFonts w:ascii="Arial MT" w:hAnsi="Arial MT"/>
                <w:spacing w:val="31"/>
              </w:rPr>
              <w:t xml:space="preserve"> </w:t>
            </w:r>
            <w:r>
              <w:rPr>
                <w:rFonts w:ascii="Arial MT" w:hAnsi="Arial MT"/>
              </w:rPr>
              <w:t>ci-dessus.</w:t>
            </w:r>
            <w:r>
              <w:rPr>
                <w:rFonts w:ascii="Arial MT" w:hAnsi="Arial MT"/>
                <w:spacing w:val="80"/>
              </w:rPr>
              <w:t xml:space="preserve"> </w:t>
            </w:r>
            <w:r>
              <w:rPr>
                <w:rFonts w:ascii="Arial MT" w:hAnsi="Arial MT"/>
              </w:rPr>
              <w:t>Elle</w:t>
            </w:r>
            <w:r>
              <w:rPr>
                <w:rFonts w:ascii="Arial MT" w:hAnsi="Arial MT"/>
                <w:spacing w:val="33"/>
              </w:rPr>
              <w:t xml:space="preserve"> </w:t>
            </w:r>
            <w:r>
              <w:rPr>
                <w:rFonts w:ascii="Arial MT" w:hAnsi="Arial MT"/>
              </w:rPr>
              <w:t>peut être poursuivie pour les services restants.</w:t>
            </w:r>
          </w:p>
        </w:tc>
      </w:tr>
    </w:tbl>
    <w:p w14:paraId="6EA2715F" w14:textId="77777777" w:rsidR="002B3448" w:rsidRDefault="002B3448">
      <w:pPr>
        <w:pStyle w:val="Corpsdetexte"/>
        <w:spacing w:before="59"/>
        <w:rPr>
          <w:rFonts w:ascii="Arial"/>
          <w:b/>
          <w:sz w:val="20"/>
        </w:rPr>
      </w:pPr>
    </w:p>
    <w:tbl>
      <w:tblPr>
        <w:tblStyle w:val="TableNormal"/>
        <w:tblW w:w="0" w:type="auto"/>
        <w:tblInd w:w="122" w:type="dxa"/>
        <w:tblLayout w:type="fixed"/>
        <w:tblLook w:val="01E0" w:firstRow="1" w:lastRow="1" w:firstColumn="1" w:lastColumn="1" w:noHBand="0" w:noVBand="0"/>
      </w:tblPr>
      <w:tblGrid>
        <w:gridCol w:w="382"/>
        <w:gridCol w:w="4247"/>
      </w:tblGrid>
      <w:tr w:rsidR="002B3448" w14:paraId="2153021B" w14:textId="77777777">
        <w:trPr>
          <w:trHeight w:val="246"/>
        </w:trPr>
        <w:tc>
          <w:tcPr>
            <w:tcW w:w="382" w:type="dxa"/>
          </w:tcPr>
          <w:p w14:paraId="68E432A2" w14:textId="77777777" w:rsidR="002B3448" w:rsidRDefault="00000000">
            <w:pPr>
              <w:pStyle w:val="TableParagraph"/>
              <w:spacing w:line="227" w:lineRule="exact"/>
              <w:ind w:left="50"/>
              <w:rPr>
                <w:b/>
              </w:rPr>
            </w:pPr>
            <w:r>
              <w:rPr>
                <w:b/>
                <w:spacing w:val="-5"/>
              </w:rPr>
              <w:t>3.</w:t>
            </w:r>
          </w:p>
        </w:tc>
        <w:tc>
          <w:tcPr>
            <w:tcW w:w="4247" w:type="dxa"/>
          </w:tcPr>
          <w:p w14:paraId="15776B10" w14:textId="77777777" w:rsidR="002B3448" w:rsidRDefault="00000000">
            <w:pPr>
              <w:pStyle w:val="TableParagraph"/>
              <w:spacing w:line="227" w:lineRule="exact"/>
              <w:ind w:left="148"/>
              <w:rPr>
                <w:rFonts w:ascii="Arial MT"/>
              </w:rPr>
            </w:pPr>
            <w:r>
              <w:rPr>
                <w:rFonts w:ascii="Arial MT"/>
              </w:rPr>
              <w:t>Chaque</w:t>
            </w:r>
            <w:r>
              <w:rPr>
                <w:rFonts w:ascii="Arial MT"/>
                <w:spacing w:val="-5"/>
              </w:rPr>
              <w:t xml:space="preserve"> </w:t>
            </w:r>
            <w:r>
              <w:rPr>
                <w:rFonts w:ascii="Arial MT"/>
              </w:rPr>
              <w:t>partie</w:t>
            </w:r>
            <w:r>
              <w:rPr>
                <w:rFonts w:ascii="Arial MT"/>
                <w:spacing w:val="-7"/>
              </w:rPr>
              <w:t xml:space="preserve"> </w:t>
            </w:r>
            <w:r>
              <w:rPr>
                <w:rFonts w:ascii="Arial MT"/>
              </w:rPr>
              <w:t>supporte</w:t>
            </w:r>
            <w:r>
              <w:rPr>
                <w:rFonts w:ascii="Arial MT"/>
                <w:spacing w:val="-6"/>
              </w:rPr>
              <w:t xml:space="preserve"> </w:t>
            </w:r>
            <w:r>
              <w:rPr>
                <w:rFonts w:ascii="Arial MT"/>
              </w:rPr>
              <w:t>ses</w:t>
            </w:r>
            <w:r>
              <w:rPr>
                <w:rFonts w:ascii="Arial MT"/>
                <w:spacing w:val="-5"/>
              </w:rPr>
              <w:t xml:space="preserve"> </w:t>
            </w:r>
            <w:r>
              <w:rPr>
                <w:rFonts w:ascii="Arial MT"/>
              </w:rPr>
              <w:t>propres</w:t>
            </w:r>
            <w:r>
              <w:rPr>
                <w:rFonts w:ascii="Arial MT"/>
                <w:spacing w:val="-8"/>
              </w:rPr>
              <w:t xml:space="preserve"> </w:t>
            </w:r>
            <w:r>
              <w:rPr>
                <w:rFonts w:ascii="Arial MT"/>
                <w:spacing w:val="-2"/>
              </w:rPr>
              <w:t>frais.</w:t>
            </w:r>
          </w:p>
        </w:tc>
      </w:tr>
    </w:tbl>
    <w:p w14:paraId="08848F9E" w14:textId="77777777" w:rsidR="002B3448" w:rsidRDefault="002B3448">
      <w:pPr>
        <w:pStyle w:val="Corpsdetexte"/>
        <w:rPr>
          <w:rFonts w:ascii="Arial"/>
          <w:b/>
        </w:rPr>
      </w:pPr>
    </w:p>
    <w:p w14:paraId="608650A7" w14:textId="77777777" w:rsidR="002B3448" w:rsidRDefault="002B3448">
      <w:pPr>
        <w:pStyle w:val="Corpsdetexte"/>
        <w:spacing w:before="16"/>
        <w:rPr>
          <w:rFonts w:ascii="Arial"/>
          <w:b/>
        </w:rPr>
      </w:pPr>
    </w:p>
    <w:p w14:paraId="1BD0EF9C" w14:textId="77777777" w:rsidR="002B3448" w:rsidRDefault="00000000">
      <w:pPr>
        <w:ind w:left="4" w:right="2"/>
        <w:jc w:val="center"/>
        <w:rPr>
          <w:rFonts w:ascii="Arial"/>
          <w:b/>
        </w:rPr>
      </w:pPr>
      <w:r>
        <w:rPr>
          <w:rFonts w:ascii="Arial"/>
          <w:b/>
          <w:spacing w:val="-2"/>
        </w:rPr>
        <w:t>MOTIFS</w:t>
      </w:r>
    </w:p>
    <w:p w14:paraId="3984FE73" w14:textId="77777777" w:rsidR="002B3448" w:rsidRDefault="002B3448">
      <w:pPr>
        <w:pStyle w:val="Corpsdetexte"/>
        <w:spacing w:before="1"/>
        <w:rPr>
          <w:rFonts w:ascii="Arial"/>
          <w:b/>
        </w:rPr>
      </w:pPr>
    </w:p>
    <w:p w14:paraId="3E226642" w14:textId="77777777" w:rsidR="002B3448" w:rsidRDefault="00000000">
      <w:pPr>
        <w:pStyle w:val="Corpsdetexte"/>
        <w:spacing w:before="1"/>
        <w:ind w:left="4" w:right="5"/>
        <w:jc w:val="center"/>
      </w:pPr>
      <w:r>
        <w:rPr>
          <w:noProof/>
        </w:rPr>
        <w:drawing>
          <wp:anchor distT="0" distB="0" distL="0" distR="0" simplePos="0" relativeHeight="15729152" behindDoc="0" locked="0" layoutInCell="1" allowOverlap="1" wp14:anchorId="03A1C528" wp14:editId="7015313F">
            <wp:simplePos x="0" y="0"/>
            <wp:positionH relativeFrom="page">
              <wp:posOffset>4400550</wp:posOffset>
            </wp:positionH>
            <wp:positionV relativeFrom="paragraph">
              <wp:posOffset>192158</wp:posOffset>
            </wp:positionV>
            <wp:extent cx="703783" cy="20936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03783" cy="209369"/>
                    </a:xfrm>
                    <a:prstGeom prst="rect">
                      <a:avLst/>
                    </a:prstGeom>
                  </pic:spPr>
                </pic:pic>
              </a:graphicData>
            </a:graphic>
          </wp:anchor>
        </w:drawing>
      </w:r>
      <w:r>
        <w:t>Le</w:t>
      </w:r>
      <w:r>
        <w:rPr>
          <w:spacing w:val="1"/>
        </w:rPr>
        <w:t xml:space="preserve"> </w:t>
      </w:r>
      <w:r>
        <w:t>13/10/2023,</w:t>
      </w:r>
      <w:r>
        <w:rPr>
          <w:spacing w:val="1"/>
        </w:rPr>
        <w:t xml:space="preserve"> </w:t>
      </w:r>
      <w:r>
        <w:t>l’opposante a formé une opposition</w:t>
      </w:r>
      <w:r>
        <w:rPr>
          <w:spacing w:val="1"/>
        </w:rPr>
        <w:t xml:space="preserve"> </w:t>
      </w:r>
      <w:r>
        <w:t>contre</w:t>
      </w:r>
      <w:r>
        <w:rPr>
          <w:spacing w:val="-3"/>
        </w:rPr>
        <w:t xml:space="preserve"> </w:t>
      </w:r>
      <w:r>
        <w:t>tous les produits et</w:t>
      </w:r>
      <w:r>
        <w:rPr>
          <w:spacing w:val="1"/>
        </w:rPr>
        <w:t xml:space="preserve"> </w:t>
      </w:r>
      <w:r>
        <w:t>services</w:t>
      </w:r>
      <w:r>
        <w:rPr>
          <w:spacing w:val="2"/>
        </w:rPr>
        <w:t xml:space="preserve"> </w:t>
      </w:r>
      <w:r>
        <w:t xml:space="preserve">de </w:t>
      </w:r>
      <w:r>
        <w:rPr>
          <w:spacing w:val="-5"/>
        </w:rPr>
        <w:t>la</w:t>
      </w:r>
    </w:p>
    <w:p w14:paraId="48B9BBB5" w14:textId="77777777" w:rsidR="002B3448" w:rsidRDefault="00000000">
      <w:pPr>
        <w:pStyle w:val="Corpsdetexte"/>
        <w:tabs>
          <w:tab w:val="left" w:pos="6835"/>
        </w:tabs>
        <w:spacing w:before="227"/>
        <w:ind w:left="165" w:right="157"/>
        <w:jc w:val="both"/>
      </w:pPr>
      <w:r>
        <w:t>demande de marque de l’Union européenne no 18 904</w:t>
      </w:r>
      <w:r>
        <w:tab/>
        <w:t>538</w:t>
      </w:r>
      <w:r>
        <w:rPr>
          <w:spacing w:val="-3"/>
        </w:rPr>
        <w:t xml:space="preserve"> </w:t>
      </w:r>
      <w:r>
        <w:t>(marque</w:t>
      </w:r>
      <w:r>
        <w:rPr>
          <w:spacing w:val="-6"/>
        </w:rPr>
        <w:t xml:space="preserve"> </w:t>
      </w:r>
      <w:r>
        <w:t>figurative). L’opposition</w:t>
      </w:r>
      <w:r>
        <w:rPr>
          <w:spacing w:val="40"/>
        </w:rPr>
        <w:t xml:space="preserve"> </w:t>
      </w:r>
      <w:r>
        <w:t>est</w:t>
      </w:r>
      <w:r>
        <w:rPr>
          <w:spacing w:val="40"/>
        </w:rPr>
        <w:t xml:space="preserve"> </w:t>
      </w:r>
      <w:r>
        <w:t>fondée</w:t>
      </w:r>
      <w:r>
        <w:rPr>
          <w:spacing w:val="40"/>
        </w:rPr>
        <w:t xml:space="preserve"> </w:t>
      </w:r>
      <w:r>
        <w:t>sur</w:t>
      </w:r>
      <w:r>
        <w:rPr>
          <w:spacing w:val="40"/>
        </w:rPr>
        <w:t xml:space="preserve"> </w:t>
      </w:r>
      <w:r>
        <w:t>l’enregistrement</w:t>
      </w:r>
      <w:r>
        <w:rPr>
          <w:spacing w:val="40"/>
        </w:rPr>
        <w:t xml:space="preserve"> </w:t>
      </w:r>
      <w:r>
        <w:t>de</w:t>
      </w:r>
      <w:r>
        <w:rPr>
          <w:spacing w:val="40"/>
        </w:rPr>
        <w:t xml:space="preserve"> </w:t>
      </w:r>
      <w:r>
        <w:t>la</w:t>
      </w:r>
      <w:r>
        <w:rPr>
          <w:spacing w:val="40"/>
        </w:rPr>
        <w:t xml:space="preserve"> </w:t>
      </w:r>
      <w:r>
        <w:t>marque</w:t>
      </w:r>
      <w:r>
        <w:rPr>
          <w:spacing w:val="40"/>
        </w:rPr>
        <w:t xml:space="preserve"> </w:t>
      </w:r>
      <w:r>
        <w:t>de</w:t>
      </w:r>
      <w:r>
        <w:rPr>
          <w:spacing w:val="40"/>
        </w:rPr>
        <w:t xml:space="preserve"> </w:t>
      </w:r>
      <w:r>
        <w:t>l’Union</w:t>
      </w:r>
      <w:r>
        <w:rPr>
          <w:spacing w:val="40"/>
        </w:rPr>
        <w:t xml:space="preserve"> </w:t>
      </w:r>
      <w:r>
        <w:t>européenne</w:t>
      </w:r>
      <w:r>
        <w:rPr>
          <w:spacing w:val="40"/>
        </w:rPr>
        <w:t xml:space="preserve"> </w:t>
      </w:r>
      <w:r>
        <w:t>no</w:t>
      </w:r>
      <w:r>
        <w:rPr>
          <w:spacing w:val="40"/>
        </w:rPr>
        <w:t xml:space="preserve"> </w:t>
      </w:r>
      <w:r>
        <w:t>479</w:t>
      </w:r>
      <w:r>
        <w:rPr>
          <w:spacing w:val="-1"/>
        </w:rPr>
        <w:t xml:space="preserve"> </w:t>
      </w:r>
      <w:r>
        <w:t>683 «BERLUTI» (marque verbale), l’enregistrement de la marque de l’Union</w:t>
      </w:r>
      <w:r>
        <w:rPr>
          <w:spacing w:val="40"/>
        </w:rPr>
        <w:t xml:space="preserve"> </w:t>
      </w:r>
      <w:r>
        <w:t>européenne no 18</w:t>
      </w:r>
      <w:r>
        <w:rPr>
          <w:spacing w:val="-4"/>
        </w:rPr>
        <w:t xml:space="preserve"> </w:t>
      </w:r>
      <w:r>
        <w:t>276</w:t>
      </w:r>
      <w:r>
        <w:rPr>
          <w:spacing w:val="-3"/>
        </w:rPr>
        <w:t xml:space="preserve"> </w:t>
      </w:r>
      <w:r>
        <w:t xml:space="preserve">692 </w:t>
      </w:r>
      <w:r>
        <w:rPr>
          <w:noProof/>
          <w:spacing w:val="-9"/>
          <w:position w:val="1"/>
        </w:rPr>
        <w:drawing>
          <wp:inline distT="0" distB="0" distL="0" distR="0" wp14:anchorId="780F340C" wp14:editId="7A4C9B6E">
            <wp:extent cx="533285" cy="41419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33285" cy="414199"/>
                    </a:xfrm>
                    <a:prstGeom prst="rect">
                      <a:avLst/>
                    </a:prstGeom>
                  </pic:spPr>
                </pic:pic>
              </a:graphicData>
            </a:graphic>
          </wp:inline>
        </w:drawing>
      </w:r>
      <w:r>
        <w:rPr>
          <w:rFonts w:ascii="Times New Roman" w:hAnsi="Times New Roman"/>
          <w:spacing w:val="40"/>
        </w:rPr>
        <w:t xml:space="preserve"> </w:t>
      </w:r>
      <w:r>
        <w:t>(marque figurative) et l’enregistrement international désignant l’Union européenne no 1</w:t>
      </w:r>
      <w:r>
        <w:rPr>
          <w:spacing w:val="-2"/>
        </w:rPr>
        <w:t xml:space="preserve"> </w:t>
      </w:r>
      <w:r>
        <w:t>112</w:t>
      </w:r>
      <w:r>
        <w:rPr>
          <w:spacing w:val="-2"/>
        </w:rPr>
        <w:t xml:space="preserve"> </w:t>
      </w:r>
      <w:r>
        <w:t>688 «BERLUTI» (marque verbale). L’opposante a invoqué l’article 8, paragraphe 1, point b) du RMUE.</w:t>
      </w:r>
    </w:p>
    <w:p w14:paraId="1862DE68" w14:textId="77777777" w:rsidR="002B3448" w:rsidRDefault="002B3448">
      <w:pPr>
        <w:pStyle w:val="Corpsdetexte"/>
        <w:jc w:val="both"/>
        <w:sectPr w:rsidR="002B3448">
          <w:type w:val="continuous"/>
          <w:pgSz w:w="11910" w:h="16840"/>
          <w:pgMar w:top="700" w:right="1275" w:bottom="280" w:left="1275" w:header="720" w:footer="720" w:gutter="0"/>
          <w:cols w:space="720"/>
        </w:sectPr>
      </w:pPr>
    </w:p>
    <w:p w14:paraId="23FAF27B" w14:textId="77777777" w:rsidR="002B3448" w:rsidRDefault="00000000">
      <w:pPr>
        <w:pStyle w:val="Corpsdetexte"/>
      </w:pPr>
      <w:r>
        <w:rPr>
          <w:noProof/>
        </w:rPr>
        <w:lastRenderedPageBreak/>
        <mc:AlternateContent>
          <mc:Choice Requires="wps">
            <w:drawing>
              <wp:anchor distT="0" distB="0" distL="0" distR="0" simplePos="0" relativeHeight="15730176" behindDoc="0" locked="0" layoutInCell="1" allowOverlap="1" wp14:anchorId="67F3BA87" wp14:editId="0C47B8B8">
                <wp:simplePos x="0" y="0"/>
                <wp:positionH relativeFrom="page">
                  <wp:posOffset>270575</wp:posOffset>
                </wp:positionH>
                <wp:positionV relativeFrom="page">
                  <wp:posOffset>1114363</wp:posOffset>
                </wp:positionV>
                <wp:extent cx="146050" cy="9210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0439BCE"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176"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6D352316" w14:textId="77777777" w:rsidR="002B3448" w:rsidRDefault="002B3448">
      <w:pPr>
        <w:pStyle w:val="Corpsdetexte"/>
        <w:spacing w:before="180"/>
      </w:pPr>
    </w:p>
    <w:p w14:paraId="2A8FEAFF" w14:textId="77777777" w:rsidR="002B3448" w:rsidRDefault="00000000">
      <w:pPr>
        <w:pStyle w:val="Titre1"/>
        <w:spacing w:before="1"/>
        <w:ind w:left="165"/>
        <w:jc w:val="both"/>
      </w:pPr>
      <w:r>
        <w:t>Risque</w:t>
      </w:r>
      <w:r>
        <w:rPr>
          <w:spacing w:val="-3"/>
        </w:rPr>
        <w:t xml:space="preserve"> </w:t>
      </w:r>
      <w:r>
        <w:t>de</w:t>
      </w:r>
      <w:r>
        <w:rPr>
          <w:spacing w:val="-3"/>
        </w:rPr>
        <w:t xml:space="preserve"> </w:t>
      </w:r>
      <w:r>
        <w:t>confusion</w:t>
      </w:r>
      <w:r>
        <w:rPr>
          <w:spacing w:val="-5"/>
        </w:rPr>
        <w:t xml:space="preserve"> </w:t>
      </w:r>
      <w:r>
        <w:t>—</w:t>
      </w:r>
      <w:r>
        <w:rPr>
          <w:spacing w:val="-4"/>
        </w:rPr>
        <w:t xml:space="preserve"> </w:t>
      </w:r>
      <w:r>
        <w:t>article</w:t>
      </w:r>
      <w:r>
        <w:rPr>
          <w:spacing w:val="-4"/>
        </w:rPr>
        <w:t xml:space="preserve"> </w:t>
      </w:r>
      <w:r>
        <w:t>8,</w:t>
      </w:r>
      <w:r>
        <w:rPr>
          <w:spacing w:val="-1"/>
        </w:rPr>
        <w:t xml:space="preserve"> </w:t>
      </w:r>
      <w:r>
        <w:t>paragraphe</w:t>
      </w:r>
      <w:r>
        <w:rPr>
          <w:spacing w:val="-2"/>
        </w:rPr>
        <w:t xml:space="preserve"> </w:t>
      </w:r>
      <w:r>
        <w:t>1,</w:t>
      </w:r>
      <w:r>
        <w:rPr>
          <w:spacing w:val="-2"/>
        </w:rPr>
        <w:t xml:space="preserve"> </w:t>
      </w:r>
      <w:r>
        <w:t>point</w:t>
      </w:r>
      <w:r>
        <w:rPr>
          <w:spacing w:val="-3"/>
        </w:rPr>
        <w:t xml:space="preserve"> </w:t>
      </w:r>
      <w:r>
        <w:t>b),</w:t>
      </w:r>
      <w:r>
        <w:rPr>
          <w:spacing w:val="-1"/>
        </w:rPr>
        <w:t xml:space="preserve"> </w:t>
      </w:r>
      <w:r>
        <w:t>du</w:t>
      </w:r>
      <w:r>
        <w:rPr>
          <w:spacing w:val="-5"/>
        </w:rPr>
        <w:t xml:space="preserve"> </w:t>
      </w:r>
      <w:r>
        <w:rPr>
          <w:spacing w:val="-4"/>
        </w:rPr>
        <w:t>RMUE</w:t>
      </w:r>
    </w:p>
    <w:p w14:paraId="6E36F09B" w14:textId="77777777" w:rsidR="002B3448" w:rsidRDefault="002B3448">
      <w:pPr>
        <w:pStyle w:val="Corpsdetexte"/>
        <w:rPr>
          <w:rFonts w:ascii="Arial"/>
          <w:b/>
        </w:rPr>
      </w:pPr>
    </w:p>
    <w:p w14:paraId="4CB95E72" w14:textId="77777777" w:rsidR="002B3448" w:rsidRDefault="00000000">
      <w:pPr>
        <w:pStyle w:val="Corpsdetexte"/>
        <w:ind w:left="165" w:right="159"/>
        <w:jc w:val="both"/>
      </w:pPr>
      <w:r>
        <w:t>Conformément</w:t>
      </w:r>
      <w:r>
        <w:rPr>
          <w:spacing w:val="40"/>
        </w:rPr>
        <w:t xml:space="preserve"> </w:t>
      </w:r>
      <w:r>
        <w:t>à</w:t>
      </w:r>
      <w:r>
        <w:rPr>
          <w:spacing w:val="40"/>
        </w:rPr>
        <w:t xml:space="preserve"> </w:t>
      </w:r>
      <w:r>
        <w:t>l’article 8,</w:t>
      </w:r>
      <w:r>
        <w:rPr>
          <w:spacing w:val="40"/>
        </w:rPr>
        <w:t xml:space="preserve"> </w:t>
      </w:r>
      <w:r>
        <w:t>paragraphe</w:t>
      </w:r>
      <w:r>
        <w:rPr>
          <w:spacing w:val="-4"/>
        </w:rPr>
        <w:t xml:space="preserve"> </w:t>
      </w:r>
      <w:r>
        <w:t>1,</w:t>
      </w:r>
      <w:r>
        <w:rPr>
          <w:spacing w:val="40"/>
        </w:rPr>
        <w:t xml:space="preserve"> </w:t>
      </w:r>
      <w:r>
        <w:t>point b),</w:t>
      </w:r>
      <w:r>
        <w:rPr>
          <w:spacing w:val="40"/>
        </w:rPr>
        <w:t xml:space="preserve"> </w:t>
      </w:r>
      <w:r>
        <w:t>du</w:t>
      </w:r>
      <w:r>
        <w:rPr>
          <w:spacing w:val="40"/>
        </w:rPr>
        <w:t xml:space="preserve"> </w:t>
      </w:r>
      <w:r>
        <w:t>RMUE,</w:t>
      </w:r>
      <w:r>
        <w:rPr>
          <w:spacing w:val="40"/>
        </w:rPr>
        <w:t xml:space="preserve"> </w:t>
      </w:r>
      <w:r>
        <w:t>il</w:t>
      </w:r>
      <w:r>
        <w:rPr>
          <w:spacing w:val="40"/>
        </w:rPr>
        <w:t xml:space="preserve"> </w:t>
      </w:r>
      <w:r>
        <w:t>existe</w:t>
      </w:r>
      <w:r>
        <w:rPr>
          <w:spacing w:val="40"/>
        </w:rPr>
        <w:t xml:space="preserve"> </w:t>
      </w:r>
      <w:r>
        <w:t>un</w:t>
      </w:r>
      <w:r>
        <w:rPr>
          <w:spacing w:val="40"/>
        </w:rPr>
        <w:t xml:space="preserve"> </w:t>
      </w:r>
      <w:r>
        <w:t>risque</w:t>
      </w:r>
      <w:r>
        <w:rPr>
          <w:spacing w:val="40"/>
        </w:rPr>
        <w:t xml:space="preserve"> </w:t>
      </w:r>
      <w:r>
        <w:t>de confusion s’il existe un risque que le public puisse croire que les produits ou services en cause, dans l’hypothèse où ils portent les marques en cause, proviennent de la même entreprise ou, le cas échéant, d’entreprises liées économiquement. L’existence d’un risque de confusion dépend de l’appréciation, lors d’une évaluation globale, de plusieurs facteurs interdépendants. Ces facteurs incluent la similitude des signes, la similitude des produits et services, le caractère distinctif de la marque antérieure, les éléments distinctifs et dominants des signes en conflit et le public pertinent.</w:t>
      </w:r>
    </w:p>
    <w:p w14:paraId="7E692A3B" w14:textId="77777777" w:rsidR="002B3448" w:rsidRDefault="002B3448">
      <w:pPr>
        <w:pStyle w:val="Corpsdetexte"/>
        <w:spacing w:before="1"/>
      </w:pPr>
    </w:p>
    <w:p w14:paraId="23860C13" w14:textId="77777777" w:rsidR="002B3448" w:rsidRDefault="00000000">
      <w:pPr>
        <w:pStyle w:val="Titre1"/>
        <w:numPr>
          <w:ilvl w:val="0"/>
          <w:numId w:val="1"/>
        </w:numPr>
        <w:tabs>
          <w:tab w:val="left" w:pos="423"/>
        </w:tabs>
        <w:ind w:left="423" w:hanging="258"/>
      </w:pPr>
      <w:r>
        <w:t>Les</w:t>
      </w:r>
      <w:r>
        <w:rPr>
          <w:spacing w:val="-5"/>
        </w:rPr>
        <w:t xml:space="preserve"> </w:t>
      </w:r>
      <w:r>
        <w:t>produits</w:t>
      </w:r>
      <w:r>
        <w:rPr>
          <w:spacing w:val="-3"/>
        </w:rPr>
        <w:t xml:space="preserve"> </w:t>
      </w:r>
      <w:r>
        <w:t>et</w:t>
      </w:r>
      <w:r>
        <w:rPr>
          <w:spacing w:val="-2"/>
        </w:rPr>
        <w:t xml:space="preserve"> services</w:t>
      </w:r>
    </w:p>
    <w:p w14:paraId="688A0B71" w14:textId="77777777" w:rsidR="002B3448" w:rsidRDefault="002B3448">
      <w:pPr>
        <w:pStyle w:val="Corpsdetexte"/>
        <w:rPr>
          <w:rFonts w:ascii="Arial"/>
          <w:b/>
        </w:rPr>
      </w:pPr>
    </w:p>
    <w:p w14:paraId="12E5E664" w14:textId="77777777" w:rsidR="002B3448" w:rsidRDefault="00000000">
      <w:pPr>
        <w:pStyle w:val="Corpsdetexte"/>
        <w:ind w:left="165"/>
        <w:jc w:val="both"/>
      </w:pPr>
      <w:r>
        <w:t>Les</w:t>
      </w:r>
      <w:r>
        <w:rPr>
          <w:spacing w:val="-7"/>
        </w:rPr>
        <w:t xml:space="preserve"> </w:t>
      </w:r>
      <w:r>
        <w:t>produits</w:t>
      </w:r>
      <w:r>
        <w:rPr>
          <w:spacing w:val="-5"/>
        </w:rPr>
        <w:t xml:space="preserve"> </w:t>
      </w:r>
      <w:r>
        <w:t>et</w:t>
      </w:r>
      <w:r>
        <w:rPr>
          <w:spacing w:val="-3"/>
        </w:rPr>
        <w:t xml:space="preserve"> </w:t>
      </w:r>
      <w:r>
        <w:t>services</w:t>
      </w:r>
      <w:r>
        <w:rPr>
          <w:spacing w:val="-7"/>
        </w:rPr>
        <w:t xml:space="preserve"> </w:t>
      </w:r>
      <w:r>
        <w:t>sur</w:t>
      </w:r>
      <w:r>
        <w:rPr>
          <w:spacing w:val="-5"/>
        </w:rPr>
        <w:t xml:space="preserve"> </w:t>
      </w:r>
      <w:r>
        <w:t>lesquels</w:t>
      </w:r>
      <w:r>
        <w:rPr>
          <w:spacing w:val="-5"/>
        </w:rPr>
        <w:t xml:space="preserve"> </w:t>
      </w:r>
      <w:r>
        <w:t>est</w:t>
      </w:r>
      <w:r>
        <w:rPr>
          <w:spacing w:val="-8"/>
        </w:rPr>
        <w:t xml:space="preserve"> </w:t>
      </w:r>
      <w:r>
        <w:t>fondée</w:t>
      </w:r>
      <w:r>
        <w:rPr>
          <w:spacing w:val="-7"/>
        </w:rPr>
        <w:t xml:space="preserve"> </w:t>
      </w:r>
      <w:r>
        <w:t>l’opposition</w:t>
      </w:r>
      <w:r>
        <w:rPr>
          <w:spacing w:val="-5"/>
        </w:rPr>
        <w:t xml:space="preserve"> </w:t>
      </w:r>
      <w:r>
        <w:rPr>
          <w:spacing w:val="-2"/>
        </w:rPr>
        <w:t>sont:</w:t>
      </w:r>
    </w:p>
    <w:p w14:paraId="18C432DE" w14:textId="77777777" w:rsidR="002B3448" w:rsidRDefault="002B3448">
      <w:pPr>
        <w:pStyle w:val="Corpsdetexte"/>
        <w:spacing w:before="1"/>
      </w:pPr>
    </w:p>
    <w:p w14:paraId="39E02C64" w14:textId="77777777" w:rsidR="002B3448" w:rsidRDefault="00000000">
      <w:pPr>
        <w:pStyle w:val="Corpsdetexte"/>
        <w:ind w:left="165"/>
        <w:jc w:val="both"/>
      </w:pPr>
      <w:r>
        <w:rPr>
          <w:u w:val="single"/>
        </w:rPr>
        <w:t>Enregistrement</w:t>
      </w:r>
      <w:r>
        <w:rPr>
          <w:spacing w:val="-8"/>
          <w:u w:val="single"/>
        </w:rPr>
        <w:t xml:space="preserve"> </w:t>
      </w:r>
      <w:r>
        <w:rPr>
          <w:u w:val="single"/>
        </w:rPr>
        <w:t>de</w:t>
      </w:r>
      <w:r>
        <w:rPr>
          <w:spacing w:val="-4"/>
          <w:u w:val="single"/>
        </w:rPr>
        <w:t xml:space="preserve"> </w:t>
      </w:r>
      <w:r>
        <w:rPr>
          <w:u w:val="single"/>
        </w:rPr>
        <w:t>la</w:t>
      </w:r>
      <w:r>
        <w:rPr>
          <w:spacing w:val="-6"/>
          <w:u w:val="single"/>
        </w:rPr>
        <w:t xml:space="preserve"> </w:t>
      </w:r>
      <w:r>
        <w:rPr>
          <w:u w:val="single"/>
        </w:rPr>
        <w:t>marque</w:t>
      </w:r>
      <w:r>
        <w:rPr>
          <w:spacing w:val="-5"/>
          <w:u w:val="single"/>
        </w:rPr>
        <w:t xml:space="preserve"> </w:t>
      </w:r>
      <w:r>
        <w:rPr>
          <w:u w:val="single"/>
        </w:rPr>
        <w:t>de</w:t>
      </w:r>
      <w:r>
        <w:rPr>
          <w:spacing w:val="-6"/>
          <w:u w:val="single"/>
        </w:rPr>
        <w:t xml:space="preserve"> </w:t>
      </w:r>
      <w:r>
        <w:rPr>
          <w:u w:val="single"/>
        </w:rPr>
        <w:t>l’Union</w:t>
      </w:r>
      <w:r>
        <w:rPr>
          <w:spacing w:val="-4"/>
          <w:u w:val="single"/>
        </w:rPr>
        <w:t xml:space="preserve"> </w:t>
      </w:r>
      <w:r>
        <w:rPr>
          <w:u w:val="single"/>
        </w:rPr>
        <w:t>européenne</w:t>
      </w:r>
      <w:r>
        <w:rPr>
          <w:spacing w:val="-5"/>
          <w:u w:val="single"/>
        </w:rPr>
        <w:t xml:space="preserve"> </w:t>
      </w:r>
      <w:r>
        <w:rPr>
          <w:u w:val="single"/>
        </w:rPr>
        <w:t>no</w:t>
      </w:r>
      <w:r>
        <w:rPr>
          <w:spacing w:val="-4"/>
          <w:u w:val="single"/>
        </w:rPr>
        <w:t xml:space="preserve"> </w:t>
      </w:r>
      <w:r>
        <w:rPr>
          <w:u w:val="single"/>
        </w:rPr>
        <w:t>479</w:t>
      </w:r>
      <w:r>
        <w:rPr>
          <w:spacing w:val="-5"/>
          <w:u w:val="single"/>
        </w:rPr>
        <w:t xml:space="preserve"> </w:t>
      </w:r>
      <w:r>
        <w:rPr>
          <w:u w:val="single"/>
        </w:rPr>
        <w:t>683</w:t>
      </w:r>
      <w:r>
        <w:rPr>
          <w:spacing w:val="-7"/>
          <w:u w:val="single"/>
        </w:rPr>
        <w:t xml:space="preserve"> </w:t>
      </w:r>
      <w:r>
        <w:rPr>
          <w:u w:val="single"/>
        </w:rPr>
        <w:t>(marque</w:t>
      </w:r>
      <w:r>
        <w:rPr>
          <w:spacing w:val="-6"/>
          <w:u w:val="single"/>
        </w:rPr>
        <w:t xml:space="preserve"> </w:t>
      </w:r>
      <w:r>
        <w:rPr>
          <w:u w:val="single"/>
        </w:rPr>
        <w:t>antérieure</w:t>
      </w:r>
      <w:r>
        <w:rPr>
          <w:spacing w:val="-4"/>
          <w:u w:val="single"/>
        </w:rPr>
        <w:t xml:space="preserve"> </w:t>
      </w:r>
      <w:r>
        <w:rPr>
          <w:u w:val="single"/>
        </w:rPr>
        <w:t>no</w:t>
      </w:r>
      <w:r>
        <w:rPr>
          <w:spacing w:val="-6"/>
          <w:u w:val="single"/>
        </w:rPr>
        <w:t xml:space="preserve"> </w:t>
      </w:r>
      <w:r>
        <w:rPr>
          <w:spacing w:val="-5"/>
          <w:u w:val="single"/>
        </w:rPr>
        <w:t>1)</w:t>
      </w:r>
    </w:p>
    <w:p w14:paraId="6813C594" w14:textId="77777777" w:rsidR="002B3448" w:rsidRDefault="00000000">
      <w:pPr>
        <w:spacing w:before="251"/>
        <w:ind w:left="165" w:right="159"/>
        <w:jc w:val="both"/>
        <w:rPr>
          <w:rFonts w:ascii="Arial" w:hAnsi="Arial"/>
          <w:i/>
        </w:rPr>
      </w:pPr>
      <w:r>
        <w:t xml:space="preserve">Classe 18: </w:t>
      </w:r>
      <w:r>
        <w:rPr>
          <w:rFonts w:ascii="Arial" w:hAnsi="Arial"/>
          <w:i/>
        </w:rPr>
        <w:t>Cuir et imitations du cuir, en particulier peaux d’animaux, malles et valises,</w:t>
      </w:r>
      <w:r>
        <w:rPr>
          <w:rFonts w:ascii="Arial" w:hAnsi="Arial"/>
          <w:i/>
          <w:spacing w:val="40"/>
        </w:rPr>
        <w:t xml:space="preserve"> </w:t>
      </w:r>
      <w:r>
        <w:rPr>
          <w:rFonts w:ascii="Arial" w:hAnsi="Arial"/>
          <w:i/>
        </w:rPr>
        <w:t xml:space="preserve">petites boîtes en cuir, boîtes pour cirages pour chaussures, sacs de voyage, trousses de voyage, lugies, sacs à dos, sacs à main, sacs à bandoulière, valises, serviettes, cartables, pochettes; produits en cuir fins, à savoir portefeuilles, porte-monnaie non en métaux précieux, porte-clés, porte-cartes, porte-chéquiers; parapluies, parasols et cannes; fouets et </w:t>
      </w:r>
      <w:r>
        <w:rPr>
          <w:rFonts w:ascii="Arial" w:hAnsi="Arial"/>
          <w:i/>
          <w:spacing w:val="-2"/>
        </w:rPr>
        <w:t>sellerie.</w:t>
      </w:r>
    </w:p>
    <w:p w14:paraId="598FA305" w14:textId="77777777" w:rsidR="002B3448" w:rsidRDefault="002B3448">
      <w:pPr>
        <w:pStyle w:val="Corpsdetexte"/>
        <w:rPr>
          <w:rFonts w:ascii="Arial"/>
          <w:i/>
        </w:rPr>
      </w:pPr>
    </w:p>
    <w:p w14:paraId="766DD200" w14:textId="77777777" w:rsidR="002B3448" w:rsidRDefault="00000000">
      <w:pPr>
        <w:spacing w:before="1"/>
        <w:ind w:left="165" w:right="161"/>
        <w:jc w:val="both"/>
        <w:rPr>
          <w:rFonts w:ascii="Arial" w:hAnsi="Arial"/>
          <w:i/>
        </w:rPr>
      </w:pPr>
      <w:r>
        <w:t xml:space="preserve">Classe 25: </w:t>
      </w:r>
      <w:r>
        <w:rPr>
          <w:rFonts w:ascii="Arial" w:hAnsi="Arial"/>
          <w:i/>
        </w:rPr>
        <w:t>Vêtements, en particulier bretelles, gants, ceintures; chaussures, en particulier bottes, demi-bottes, souliers, sandales, semelles de chaussures, tiges de bottes, tiges et trépointes de chaussures, bouts et garnitures métalliques pour chaussures; chapellerie.</w:t>
      </w:r>
    </w:p>
    <w:p w14:paraId="6E1E4C5F" w14:textId="77777777" w:rsidR="002B3448" w:rsidRDefault="002B3448">
      <w:pPr>
        <w:pStyle w:val="Corpsdetexte"/>
        <w:spacing w:before="1"/>
        <w:rPr>
          <w:rFonts w:ascii="Arial"/>
          <w:i/>
        </w:rPr>
      </w:pPr>
    </w:p>
    <w:p w14:paraId="1B64DAD1" w14:textId="77777777" w:rsidR="002B3448" w:rsidRDefault="00000000">
      <w:pPr>
        <w:pStyle w:val="Corpsdetexte"/>
        <w:ind w:left="165" w:right="247"/>
      </w:pPr>
      <w:r>
        <w:rPr>
          <w:u w:val="single"/>
        </w:rPr>
        <w:t>Enregistrement</w:t>
      </w:r>
      <w:r>
        <w:rPr>
          <w:spacing w:val="-3"/>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marque</w:t>
      </w:r>
      <w:r>
        <w:rPr>
          <w:spacing w:val="-2"/>
          <w:u w:val="single"/>
        </w:rPr>
        <w:t xml:space="preserve"> </w:t>
      </w:r>
      <w:r>
        <w:rPr>
          <w:u w:val="single"/>
        </w:rPr>
        <w:t>de</w:t>
      </w:r>
      <w:r>
        <w:rPr>
          <w:spacing w:val="-4"/>
          <w:u w:val="single"/>
        </w:rPr>
        <w:t xml:space="preserve"> </w:t>
      </w:r>
      <w:r>
        <w:rPr>
          <w:u w:val="single"/>
        </w:rPr>
        <w:t>l’Union</w:t>
      </w:r>
      <w:r>
        <w:rPr>
          <w:spacing w:val="-2"/>
          <w:u w:val="single"/>
        </w:rPr>
        <w:t xml:space="preserve"> </w:t>
      </w:r>
      <w:r>
        <w:rPr>
          <w:u w:val="single"/>
        </w:rPr>
        <w:t>européenne</w:t>
      </w:r>
      <w:r>
        <w:rPr>
          <w:spacing w:val="-2"/>
          <w:u w:val="single"/>
        </w:rPr>
        <w:t xml:space="preserve"> </w:t>
      </w:r>
      <w:r>
        <w:rPr>
          <w:u w:val="single"/>
        </w:rPr>
        <w:t>no</w:t>
      </w:r>
      <w:r>
        <w:rPr>
          <w:spacing w:val="-2"/>
          <w:u w:val="single"/>
        </w:rPr>
        <w:t xml:space="preserve"> </w:t>
      </w:r>
      <w:r>
        <w:rPr>
          <w:u w:val="single"/>
        </w:rPr>
        <w:t>18</w:t>
      </w:r>
      <w:r>
        <w:rPr>
          <w:spacing w:val="-1"/>
          <w:u w:val="single"/>
        </w:rPr>
        <w:t xml:space="preserve"> </w:t>
      </w:r>
      <w:r>
        <w:rPr>
          <w:u w:val="single"/>
        </w:rPr>
        <w:t>276</w:t>
      </w:r>
      <w:r>
        <w:rPr>
          <w:spacing w:val="-2"/>
          <w:u w:val="single"/>
        </w:rPr>
        <w:t xml:space="preserve"> </w:t>
      </w:r>
      <w:r>
        <w:rPr>
          <w:u w:val="single"/>
        </w:rPr>
        <w:t>692</w:t>
      </w:r>
      <w:r>
        <w:rPr>
          <w:spacing w:val="-4"/>
          <w:u w:val="single"/>
        </w:rPr>
        <w:t xml:space="preserve"> </w:t>
      </w:r>
      <w:r>
        <w:rPr>
          <w:u w:val="single"/>
        </w:rPr>
        <w:t>(marque</w:t>
      </w:r>
      <w:r>
        <w:rPr>
          <w:spacing w:val="-4"/>
          <w:u w:val="single"/>
        </w:rPr>
        <w:t xml:space="preserve"> </w:t>
      </w:r>
      <w:r>
        <w:rPr>
          <w:u w:val="single"/>
        </w:rPr>
        <w:t>antérieure</w:t>
      </w:r>
      <w:r>
        <w:rPr>
          <w:spacing w:val="-2"/>
          <w:u w:val="single"/>
        </w:rPr>
        <w:t xml:space="preserve"> </w:t>
      </w:r>
      <w:r>
        <w:rPr>
          <w:u w:val="single"/>
        </w:rPr>
        <w:t>no</w:t>
      </w:r>
      <w:r>
        <w:t xml:space="preserve"> </w:t>
      </w:r>
      <w:r>
        <w:rPr>
          <w:spacing w:val="-6"/>
          <w:u w:val="single"/>
        </w:rPr>
        <w:t>2)</w:t>
      </w:r>
    </w:p>
    <w:p w14:paraId="072B329C" w14:textId="77777777" w:rsidR="002B3448" w:rsidRDefault="00000000">
      <w:pPr>
        <w:spacing w:before="252"/>
        <w:ind w:left="165" w:right="157"/>
        <w:jc w:val="both"/>
        <w:rPr>
          <w:rFonts w:ascii="Arial" w:hAnsi="Arial"/>
          <w:i/>
        </w:rPr>
      </w:pPr>
      <w:r>
        <w:t xml:space="preserve">Classe 18: </w:t>
      </w:r>
      <w:r>
        <w:rPr>
          <w:rFonts w:ascii="Arial" w:hAnsi="Arial"/>
          <w:i/>
        </w:rPr>
        <w:t>Cuir et imitations du cuir; malles et valises; sacs de voyage, sacs de sport; sacs</w:t>
      </w:r>
      <w:r>
        <w:rPr>
          <w:rFonts w:ascii="Arial" w:hAnsi="Arial"/>
          <w:i/>
          <w:spacing w:val="80"/>
        </w:rPr>
        <w:t xml:space="preserve"> </w:t>
      </w:r>
      <w:r>
        <w:rPr>
          <w:rFonts w:ascii="Arial" w:hAnsi="Arial"/>
          <w:i/>
        </w:rPr>
        <w:t>à main, sacs à dos; sacs de plage, bandoulières, sacs d’écoliers, sacs à provisions; coffres de voyage; sacs-housses pour vêtements et chaussures pour le voyage; mallettes pour documents et documents, attaché-cases, porte-documents; pochettes, portefeuilles, porte- monnaie non en métaux précieux, porte-cartes (portefeuilles), étuis pour clés</w:t>
      </w:r>
      <w:r>
        <w:rPr>
          <w:rFonts w:ascii="Arial" w:hAnsi="Arial"/>
          <w:i/>
          <w:spacing w:val="80"/>
        </w:rPr>
        <w:t xml:space="preserve"> </w:t>
      </w:r>
      <w:r>
        <w:rPr>
          <w:rFonts w:ascii="Arial" w:hAnsi="Arial"/>
          <w:i/>
        </w:rPr>
        <w:t>(maroquinerie);</w:t>
      </w:r>
      <w:r>
        <w:rPr>
          <w:rFonts w:ascii="Arial" w:hAnsi="Arial"/>
          <w:i/>
          <w:spacing w:val="-2"/>
        </w:rPr>
        <w:t xml:space="preserve"> </w:t>
      </w:r>
      <w:r>
        <w:rPr>
          <w:rFonts w:ascii="Arial" w:hAnsi="Arial"/>
          <w:i/>
        </w:rPr>
        <w:t>boîtes</w:t>
      </w:r>
      <w:r>
        <w:rPr>
          <w:rFonts w:ascii="Arial" w:hAnsi="Arial"/>
          <w:i/>
          <w:spacing w:val="-4"/>
        </w:rPr>
        <w:t xml:space="preserve"> </w:t>
      </w:r>
      <w:r>
        <w:rPr>
          <w:rFonts w:ascii="Arial" w:hAnsi="Arial"/>
          <w:i/>
        </w:rPr>
        <w:t>en</w:t>
      </w:r>
      <w:r>
        <w:rPr>
          <w:rFonts w:ascii="Arial" w:hAnsi="Arial"/>
          <w:i/>
          <w:spacing w:val="-2"/>
        </w:rPr>
        <w:t xml:space="preserve"> </w:t>
      </w:r>
      <w:r>
        <w:rPr>
          <w:rFonts w:ascii="Arial" w:hAnsi="Arial"/>
          <w:i/>
        </w:rPr>
        <w:t>cuir</w:t>
      </w:r>
      <w:r>
        <w:rPr>
          <w:rFonts w:ascii="Arial" w:hAnsi="Arial"/>
          <w:i/>
          <w:spacing w:val="-1"/>
        </w:rPr>
        <w:t xml:space="preserve"> </w:t>
      </w:r>
      <w:r>
        <w:rPr>
          <w:rFonts w:ascii="Arial" w:hAnsi="Arial"/>
          <w:i/>
        </w:rPr>
        <w:t>ou</w:t>
      </w:r>
      <w:r>
        <w:rPr>
          <w:rFonts w:ascii="Arial" w:hAnsi="Arial"/>
          <w:i/>
          <w:spacing w:val="-4"/>
        </w:rPr>
        <w:t xml:space="preserve"> </w:t>
      </w:r>
      <w:r>
        <w:rPr>
          <w:rFonts w:ascii="Arial" w:hAnsi="Arial"/>
          <w:i/>
        </w:rPr>
        <w:t>en</w:t>
      </w:r>
      <w:r>
        <w:rPr>
          <w:rFonts w:ascii="Arial" w:hAnsi="Arial"/>
          <w:i/>
          <w:spacing w:val="-2"/>
        </w:rPr>
        <w:t xml:space="preserve"> </w:t>
      </w:r>
      <w:r>
        <w:rPr>
          <w:rFonts w:ascii="Arial" w:hAnsi="Arial"/>
          <w:i/>
        </w:rPr>
        <w:t>imitations</w:t>
      </w:r>
      <w:r>
        <w:rPr>
          <w:rFonts w:ascii="Arial" w:hAnsi="Arial"/>
          <w:i/>
          <w:spacing w:val="-2"/>
        </w:rPr>
        <w:t xml:space="preserve"> </w:t>
      </w:r>
      <w:r>
        <w:rPr>
          <w:rFonts w:ascii="Arial" w:hAnsi="Arial"/>
          <w:i/>
        </w:rPr>
        <w:t>du</w:t>
      </w:r>
      <w:r>
        <w:rPr>
          <w:rFonts w:ascii="Arial" w:hAnsi="Arial"/>
          <w:i/>
          <w:spacing w:val="-4"/>
        </w:rPr>
        <w:t xml:space="preserve"> </w:t>
      </w:r>
      <w:r>
        <w:rPr>
          <w:rFonts w:ascii="Arial" w:hAnsi="Arial"/>
          <w:i/>
        </w:rPr>
        <w:t>cuir;</w:t>
      </w:r>
      <w:r>
        <w:rPr>
          <w:rFonts w:ascii="Arial" w:hAnsi="Arial"/>
          <w:i/>
          <w:spacing w:val="-3"/>
        </w:rPr>
        <w:t xml:space="preserve"> </w:t>
      </w:r>
      <w:r>
        <w:rPr>
          <w:rFonts w:ascii="Arial" w:hAnsi="Arial"/>
          <w:i/>
        </w:rPr>
        <w:t>affaires</w:t>
      </w:r>
      <w:r>
        <w:rPr>
          <w:rFonts w:ascii="Arial" w:hAnsi="Arial"/>
          <w:i/>
          <w:spacing w:val="-4"/>
        </w:rPr>
        <w:t xml:space="preserve"> </w:t>
      </w:r>
      <w:r>
        <w:rPr>
          <w:rFonts w:ascii="Arial" w:hAnsi="Arial"/>
          <w:i/>
        </w:rPr>
        <w:t>de</w:t>
      </w:r>
      <w:r>
        <w:rPr>
          <w:rFonts w:ascii="Arial" w:hAnsi="Arial"/>
          <w:i/>
          <w:spacing w:val="-2"/>
        </w:rPr>
        <w:t xml:space="preserve"> </w:t>
      </w:r>
      <w:r>
        <w:rPr>
          <w:rFonts w:ascii="Arial" w:hAnsi="Arial"/>
          <w:i/>
        </w:rPr>
        <w:t>voyage;</w:t>
      </w:r>
      <w:r>
        <w:rPr>
          <w:rFonts w:ascii="Arial" w:hAnsi="Arial"/>
          <w:i/>
          <w:spacing w:val="-3"/>
        </w:rPr>
        <w:t xml:space="preserve"> </w:t>
      </w:r>
      <w:r>
        <w:rPr>
          <w:rFonts w:ascii="Arial" w:hAnsi="Arial"/>
          <w:i/>
        </w:rPr>
        <w:t>coffrets</w:t>
      </w:r>
      <w:r>
        <w:rPr>
          <w:rFonts w:ascii="Arial" w:hAnsi="Arial"/>
          <w:i/>
          <w:spacing w:val="-1"/>
        </w:rPr>
        <w:t xml:space="preserve"> </w:t>
      </w:r>
      <w:r>
        <w:rPr>
          <w:rFonts w:ascii="Arial" w:hAnsi="Arial"/>
          <w:i/>
        </w:rPr>
        <w:t>destinés</w:t>
      </w:r>
      <w:r>
        <w:rPr>
          <w:rFonts w:ascii="Arial" w:hAnsi="Arial"/>
          <w:i/>
          <w:spacing w:val="-1"/>
        </w:rPr>
        <w:t xml:space="preserve"> </w:t>
      </w:r>
      <w:r>
        <w:rPr>
          <w:rFonts w:ascii="Arial" w:hAnsi="Arial"/>
          <w:i/>
        </w:rPr>
        <w:t>à contenir</w:t>
      </w:r>
      <w:r>
        <w:rPr>
          <w:rFonts w:ascii="Arial" w:hAnsi="Arial"/>
          <w:i/>
          <w:spacing w:val="-1"/>
        </w:rPr>
        <w:t xml:space="preserve"> </w:t>
      </w:r>
      <w:r>
        <w:rPr>
          <w:rFonts w:ascii="Arial" w:hAnsi="Arial"/>
          <w:i/>
        </w:rPr>
        <w:t>des</w:t>
      </w:r>
      <w:r>
        <w:rPr>
          <w:rFonts w:ascii="Arial" w:hAnsi="Arial"/>
          <w:i/>
          <w:spacing w:val="-1"/>
        </w:rPr>
        <w:t xml:space="preserve"> </w:t>
      </w:r>
      <w:r>
        <w:rPr>
          <w:rFonts w:ascii="Arial" w:hAnsi="Arial"/>
          <w:i/>
        </w:rPr>
        <w:t>articles</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toilette</w:t>
      </w:r>
      <w:r>
        <w:rPr>
          <w:rFonts w:ascii="Arial" w:hAnsi="Arial"/>
          <w:i/>
          <w:spacing w:val="-2"/>
        </w:rPr>
        <w:t xml:space="preserve"> </w:t>
      </w:r>
      <w:r>
        <w:rPr>
          <w:rFonts w:ascii="Arial" w:hAnsi="Arial"/>
          <w:i/>
        </w:rPr>
        <w:t>dits</w:t>
      </w:r>
      <w:r>
        <w:rPr>
          <w:rFonts w:ascii="Arial" w:hAnsi="Arial"/>
          <w:i/>
          <w:spacing w:val="-1"/>
        </w:rPr>
        <w:t xml:space="preserve"> </w:t>
      </w:r>
      <w:r>
        <w:rPr>
          <w:rFonts w:ascii="Arial" w:hAnsi="Arial"/>
          <w:i/>
        </w:rPr>
        <w:t>«vanity</w:t>
      </w:r>
      <w:r>
        <w:rPr>
          <w:rFonts w:ascii="Arial" w:hAnsi="Arial"/>
          <w:i/>
          <w:spacing w:val="-1"/>
        </w:rPr>
        <w:t xml:space="preserve"> </w:t>
      </w:r>
      <w:r>
        <w:rPr>
          <w:rFonts w:ascii="Arial" w:hAnsi="Arial"/>
          <w:i/>
        </w:rPr>
        <w:t>cases»;</w:t>
      </w:r>
      <w:r>
        <w:rPr>
          <w:rFonts w:ascii="Arial" w:hAnsi="Arial"/>
          <w:i/>
          <w:spacing w:val="-1"/>
        </w:rPr>
        <w:t xml:space="preserve"> </w:t>
      </w:r>
      <w:r>
        <w:rPr>
          <w:rFonts w:ascii="Arial" w:hAnsi="Arial"/>
          <w:i/>
        </w:rPr>
        <w:t>pochettes</w:t>
      </w:r>
      <w:r>
        <w:rPr>
          <w:rFonts w:ascii="Arial" w:hAnsi="Arial"/>
          <w:i/>
          <w:spacing w:val="-2"/>
        </w:rPr>
        <w:t xml:space="preserve"> </w:t>
      </w:r>
      <w:r>
        <w:rPr>
          <w:rFonts w:ascii="Arial" w:hAnsi="Arial"/>
          <w:i/>
        </w:rPr>
        <w:t>en</w:t>
      </w:r>
      <w:r>
        <w:rPr>
          <w:rFonts w:ascii="Arial" w:hAnsi="Arial"/>
          <w:i/>
          <w:spacing w:val="-4"/>
        </w:rPr>
        <w:t xml:space="preserve"> </w:t>
      </w:r>
      <w:r>
        <w:rPr>
          <w:rFonts w:ascii="Arial" w:hAnsi="Arial"/>
          <w:i/>
        </w:rPr>
        <w:t>cuir,</w:t>
      </w:r>
      <w:r>
        <w:rPr>
          <w:rFonts w:ascii="Arial" w:hAnsi="Arial"/>
          <w:i/>
          <w:spacing w:val="-3"/>
        </w:rPr>
        <w:t xml:space="preserve"> </w:t>
      </w:r>
      <w:r>
        <w:rPr>
          <w:rFonts w:ascii="Arial" w:hAnsi="Arial"/>
          <w:i/>
        </w:rPr>
        <w:t>sacs</w:t>
      </w:r>
      <w:r>
        <w:rPr>
          <w:rFonts w:ascii="Arial" w:hAnsi="Arial"/>
          <w:i/>
          <w:spacing w:val="-1"/>
        </w:rPr>
        <w:t xml:space="preserve"> </w:t>
      </w:r>
      <w:r>
        <w:rPr>
          <w:rFonts w:ascii="Arial" w:hAnsi="Arial"/>
          <w:i/>
        </w:rPr>
        <w:t>à</w:t>
      </w:r>
      <w:r>
        <w:rPr>
          <w:rFonts w:ascii="Arial" w:hAnsi="Arial"/>
          <w:i/>
          <w:spacing w:val="-2"/>
        </w:rPr>
        <w:t xml:space="preserve"> </w:t>
      </w:r>
      <w:r>
        <w:rPr>
          <w:rFonts w:ascii="Arial" w:hAnsi="Arial"/>
          <w:i/>
        </w:rPr>
        <w:t>main</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soirée; parasols; parapluies.</w:t>
      </w:r>
    </w:p>
    <w:p w14:paraId="1F41445E" w14:textId="77777777" w:rsidR="002B3448" w:rsidRDefault="002B3448">
      <w:pPr>
        <w:pStyle w:val="Corpsdetexte"/>
        <w:spacing w:before="1"/>
        <w:rPr>
          <w:rFonts w:ascii="Arial"/>
          <w:i/>
        </w:rPr>
      </w:pPr>
    </w:p>
    <w:p w14:paraId="25E89EBF" w14:textId="77777777" w:rsidR="002B3448" w:rsidRDefault="00000000">
      <w:pPr>
        <w:ind w:left="165" w:right="161"/>
        <w:jc w:val="both"/>
        <w:rPr>
          <w:rFonts w:ascii="Arial" w:hAnsi="Arial"/>
          <w:i/>
        </w:rPr>
      </w:pPr>
      <w:r>
        <w:t xml:space="preserve">Classe 25: </w:t>
      </w:r>
      <w:r>
        <w:rPr>
          <w:rFonts w:ascii="Arial" w:hAnsi="Arial"/>
          <w:i/>
        </w:rPr>
        <w:t>Vêtements, pulls, gilets, chemises, tee-shirts, pantalons, vestes, costumes, manteaux, vêtements imperméables, parkas, jupes, robes, shorts; robes de chambre, pyjamas, chemises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nuit; chapeaux, casques, casquettes, cravates et</w:t>
      </w:r>
      <w:r>
        <w:rPr>
          <w:rFonts w:ascii="Arial" w:hAnsi="Arial"/>
          <w:i/>
          <w:spacing w:val="-2"/>
        </w:rPr>
        <w:t xml:space="preserve"> </w:t>
      </w:r>
      <w:r>
        <w:rPr>
          <w:rFonts w:ascii="Arial" w:hAnsi="Arial"/>
          <w:i/>
        </w:rPr>
        <w:t>gants (habillement), ceintures [habillement], ceintures en cuir [vêtements], écharpes, mouchoirs et écharpes, châles, bas, chaussettes, collants, bretelles, étoles; sous-vêtements, articles de lingerie; maillots de bain; chaussures, pantoufles, bottes, demi-bottes.</w:t>
      </w:r>
    </w:p>
    <w:p w14:paraId="681EBBA2" w14:textId="77777777" w:rsidR="002B3448" w:rsidRDefault="002B3448">
      <w:pPr>
        <w:pStyle w:val="Corpsdetexte"/>
        <w:spacing w:before="1"/>
        <w:rPr>
          <w:rFonts w:ascii="Arial"/>
          <w:i/>
        </w:rPr>
      </w:pPr>
    </w:p>
    <w:p w14:paraId="7E11232B" w14:textId="77777777" w:rsidR="002B3448" w:rsidRDefault="00000000">
      <w:pPr>
        <w:pStyle w:val="Corpsdetexte"/>
        <w:ind w:left="165" w:right="172"/>
        <w:jc w:val="both"/>
      </w:pPr>
      <w:r>
        <w:rPr>
          <w:u w:val="single"/>
        </w:rPr>
        <w:t>Enregistrement</w:t>
      </w:r>
      <w:r>
        <w:rPr>
          <w:spacing w:val="-4"/>
          <w:u w:val="single"/>
        </w:rPr>
        <w:t xml:space="preserve"> </w:t>
      </w:r>
      <w:r>
        <w:rPr>
          <w:u w:val="single"/>
        </w:rPr>
        <w:t>international</w:t>
      </w:r>
      <w:r>
        <w:rPr>
          <w:spacing w:val="-4"/>
          <w:u w:val="single"/>
        </w:rPr>
        <w:t xml:space="preserve"> </w:t>
      </w:r>
      <w:r>
        <w:rPr>
          <w:u w:val="single"/>
        </w:rPr>
        <w:t>désignant</w:t>
      </w:r>
      <w:r>
        <w:rPr>
          <w:spacing w:val="-1"/>
          <w:u w:val="single"/>
        </w:rPr>
        <w:t xml:space="preserve"> </w:t>
      </w:r>
      <w:r>
        <w:rPr>
          <w:u w:val="single"/>
        </w:rPr>
        <w:t>l’Union</w:t>
      </w:r>
      <w:r>
        <w:rPr>
          <w:spacing w:val="-3"/>
          <w:u w:val="single"/>
        </w:rPr>
        <w:t xml:space="preserve"> </w:t>
      </w:r>
      <w:r>
        <w:rPr>
          <w:u w:val="single"/>
        </w:rPr>
        <w:t>européenne</w:t>
      </w:r>
      <w:r>
        <w:rPr>
          <w:spacing w:val="-3"/>
          <w:u w:val="single"/>
        </w:rPr>
        <w:t xml:space="preserve"> </w:t>
      </w:r>
      <w:r>
        <w:rPr>
          <w:u w:val="single"/>
        </w:rPr>
        <w:t>no</w:t>
      </w:r>
      <w:r>
        <w:rPr>
          <w:spacing w:val="-5"/>
          <w:u w:val="single"/>
        </w:rPr>
        <w:t xml:space="preserve"> </w:t>
      </w:r>
      <w:r>
        <w:rPr>
          <w:u w:val="single"/>
        </w:rPr>
        <w:t>1</w:t>
      </w:r>
      <w:r>
        <w:rPr>
          <w:spacing w:val="-1"/>
          <w:u w:val="single"/>
        </w:rPr>
        <w:t xml:space="preserve"> </w:t>
      </w:r>
      <w:r>
        <w:rPr>
          <w:u w:val="single"/>
        </w:rPr>
        <w:t>112</w:t>
      </w:r>
      <w:r>
        <w:rPr>
          <w:spacing w:val="-5"/>
          <w:u w:val="single"/>
        </w:rPr>
        <w:t xml:space="preserve"> </w:t>
      </w:r>
      <w:r>
        <w:rPr>
          <w:u w:val="single"/>
        </w:rPr>
        <w:t>688</w:t>
      </w:r>
      <w:r>
        <w:rPr>
          <w:spacing w:val="-5"/>
          <w:u w:val="single"/>
        </w:rPr>
        <w:t xml:space="preserve"> </w:t>
      </w:r>
      <w:r>
        <w:rPr>
          <w:u w:val="single"/>
        </w:rPr>
        <w:t>(marque</w:t>
      </w:r>
      <w:r>
        <w:rPr>
          <w:spacing w:val="-5"/>
          <w:u w:val="single"/>
        </w:rPr>
        <w:t xml:space="preserve"> </w:t>
      </w:r>
      <w:r>
        <w:rPr>
          <w:u w:val="single"/>
        </w:rPr>
        <w:t>antérieure</w:t>
      </w:r>
      <w:r>
        <w:t xml:space="preserve"> </w:t>
      </w:r>
      <w:r>
        <w:rPr>
          <w:u w:val="single"/>
        </w:rPr>
        <w:t>no 3)</w:t>
      </w:r>
    </w:p>
    <w:p w14:paraId="727F2958" w14:textId="77777777" w:rsidR="002B3448" w:rsidRDefault="00000000">
      <w:pPr>
        <w:spacing w:before="253"/>
        <w:ind w:left="165"/>
        <w:rPr>
          <w:rFonts w:ascii="Arial" w:hAnsi="Arial"/>
          <w:i/>
        </w:rPr>
      </w:pPr>
      <w:r>
        <w:t>Classe</w:t>
      </w:r>
      <w:r>
        <w:rPr>
          <w:spacing w:val="80"/>
        </w:rPr>
        <w:t xml:space="preserve"> </w:t>
      </w:r>
      <w:r>
        <w:t>14:</w:t>
      </w:r>
      <w:r>
        <w:rPr>
          <w:spacing w:val="80"/>
        </w:rPr>
        <w:t xml:space="preserve"> </w:t>
      </w:r>
      <w:r>
        <w:rPr>
          <w:rFonts w:ascii="Arial" w:hAnsi="Arial"/>
          <w:i/>
        </w:rPr>
        <w:t>Boutons</w:t>
      </w:r>
      <w:r>
        <w:rPr>
          <w:rFonts w:ascii="Arial" w:hAnsi="Arial"/>
          <w:i/>
          <w:spacing w:val="80"/>
        </w:rPr>
        <w:t xml:space="preserve"> </w:t>
      </w:r>
      <w:r>
        <w:rPr>
          <w:rFonts w:ascii="Arial" w:hAnsi="Arial"/>
          <w:i/>
        </w:rPr>
        <w:t>de</w:t>
      </w:r>
      <w:r>
        <w:rPr>
          <w:rFonts w:ascii="Arial" w:hAnsi="Arial"/>
          <w:i/>
          <w:spacing w:val="80"/>
        </w:rPr>
        <w:t xml:space="preserve"> </w:t>
      </w:r>
      <w:r>
        <w:rPr>
          <w:rFonts w:ascii="Arial" w:hAnsi="Arial"/>
          <w:i/>
        </w:rPr>
        <w:t>manchettes,</w:t>
      </w:r>
      <w:r>
        <w:rPr>
          <w:rFonts w:ascii="Arial" w:hAnsi="Arial"/>
          <w:i/>
          <w:spacing w:val="80"/>
        </w:rPr>
        <w:t xml:space="preserve"> </w:t>
      </w:r>
      <w:r>
        <w:rPr>
          <w:rFonts w:ascii="Arial" w:hAnsi="Arial"/>
          <w:i/>
        </w:rPr>
        <w:t>porte-clés;</w:t>
      </w:r>
      <w:r>
        <w:rPr>
          <w:rFonts w:ascii="Arial" w:hAnsi="Arial"/>
          <w:i/>
          <w:spacing w:val="80"/>
        </w:rPr>
        <w:t xml:space="preserve"> </w:t>
      </w:r>
      <w:r>
        <w:rPr>
          <w:rFonts w:ascii="Arial" w:hAnsi="Arial"/>
          <w:i/>
        </w:rPr>
        <w:t>produits</w:t>
      </w:r>
      <w:r>
        <w:rPr>
          <w:rFonts w:ascii="Arial" w:hAnsi="Arial"/>
          <w:i/>
          <w:spacing w:val="80"/>
        </w:rPr>
        <w:t xml:space="preserve"> </w:t>
      </w:r>
      <w:r>
        <w:rPr>
          <w:rFonts w:ascii="Arial" w:hAnsi="Arial"/>
          <w:i/>
        </w:rPr>
        <w:t>d’horlogerie</w:t>
      </w:r>
      <w:r>
        <w:rPr>
          <w:rFonts w:ascii="Arial" w:hAnsi="Arial"/>
          <w:i/>
          <w:spacing w:val="80"/>
        </w:rPr>
        <w:t xml:space="preserve"> </w:t>
      </w:r>
      <w:r>
        <w:rPr>
          <w:rFonts w:ascii="Arial" w:hAnsi="Arial"/>
          <w:i/>
        </w:rPr>
        <w:t>et</w:t>
      </w:r>
      <w:r>
        <w:rPr>
          <w:rFonts w:ascii="Arial" w:hAnsi="Arial"/>
          <w:i/>
          <w:spacing w:val="80"/>
        </w:rPr>
        <w:t xml:space="preserve"> </w:t>
      </w:r>
      <w:r>
        <w:rPr>
          <w:rFonts w:ascii="Arial" w:hAnsi="Arial"/>
          <w:i/>
        </w:rPr>
        <w:t>instruments chronométriques tels que montres, boîtes et étuis pour horloges et montres.</w:t>
      </w:r>
    </w:p>
    <w:p w14:paraId="13621792" w14:textId="77777777" w:rsidR="002B3448" w:rsidRDefault="00000000">
      <w:pPr>
        <w:pStyle w:val="Corpsdetexte"/>
        <w:spacing w:before="252"/>
        <w:ind w:left="165"/>
      </w:pPr>
      <w:r>
        <w:t>Les</w:t>
      </w:r>
      <w:r>
        <w:rPr>
          <w:spacing w:val="-5"/>
        </w:rPr>
        <w:t xml:space="preserve"> </w:t>
      </w:r>
      <w:r>
        <w:t>produits</w:t>
      </w:r>
      <w:r>
        <w:rPr>
          <w:spacing w:val="-5"/>
        </w:rPr>
        <w:t xml:space="preserve"> </w:t>
      </w:r>
      <w:r>
        <w:t>et</w:t>
      </w:r>
      <w:r>
        <w:rPr>
          <w:spacing w:val="-4"/>
        </w:rPr>
        <w:t xml:space="preserve"> </w:t>
      </w:r>
      <w:r>
        <w:t>services</w:t>
      </w:r>
      <w:r>
        <w:rPr>
          <w:spacing w:val="-7"/>
        </w:rPr>
        <w:t xml:space="preserve"> </w:t>
      </w:r>
      <w:r>
        <w:t>contestés</w:t>
      </w:r>
      <w:r>
        <w:rPr>
          <w:spacing w:val="-5"/>
        </w:rPr>
        <w:t xml:space="preserve"> </w:t>
      </w:r>
      <w:r>
        <w:t>sont</w:t>
      </w:r>
      <w:r>
        <w:rPr>
          <w:spacing w:val="-4"/>
        </w:rPr>
        <w:t xml:space="preserve"> </w:t>
      </w:r>
      <w:r>
        <w:t>les</w:t>
      </w:r>
      <w:r>
        <w:rPr>
          <w:spacing w:val="-7"/>
        </w:rPr>
        <w:t xml:space="preserve"> </w:t>
      </w:r>
      <w:r>
        <w:rPr>
          <w:spacing w:val="-2"/>
        </w:rPr>
        <w:t>suivants:</w:t>
      </w:r>
    </w:p>
    <w:p w14:paraId="352F0698" w14:textId="77777777" w:rsidR="002B3448" w:rsidRDefault="002B3448">
      <w:pPr>
        <w:pStyle w:val="Corpsdetexte"/>
        <w:sectPr w:rsidR="002B3448">
          <w:headerReference w:type="default" r:id="rId10"/>
          <w:pgSz w:w="11910" w:h="16840"/>
          <w:pgMar w:top="1000" w:right="1275" w:bottom="280" w:left="1275" w:header="727" w:footer="0" w:gutter="0"/>
          <w:pgNumType w:start="2"/>
          <w:cols w:space="720"/>
        </w:sectPr>
      </w:pPr>
    </w:p>
    <w:p w14:paraId="681CC4CA" w14:textId="77777777" w:rsidR="002B3448" w:rsidRDefault="00000000">
      <w:pPr>
        <w:pStyle w:val="Corpsdetexte"/>
      </w:pPr>
      <w:r>
        <w:rPr>
          <w:noProof/>
        </w:rPr>
        <w:lastRenderedPageBreak/>
        <mc:AlternateContent>
          <mc:Choice Requires="wps">
            <w:drawing>
              <wp:anchor distT="0" distB="0" distL="0" distR="0" simplePos="0" relativeHeight="15730688" behindDoc="0" locked="0" layoutInCell="1" allowOverlap="1" wp14:anchorId="36861EFF" wp14:editId="525FE04C">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88F0407"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688" type="#_x0000_t202" id="docshape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32B675D7" w14:textId="77777777" w:rsidR="002B3448" w:rsidRDefault="002B3448">
      <w:pPr>
        <w:pStyle w:val="Corpsdetexte"/>
        <w:spacing w:before="180"/>
      </w:pPr>
    </w:p>
    <w:p w14:paraId="1CD387A2" w14:textId="77777777" w:rsidR="002B3448" w:rsidRDefault="00000000">
      <w:pPr>
        <w:spacing w:before="1"/>
        <w:ind w:left="165" w:right="157"/>
        <w:jc w:val="both"/>
        <w:rPr>
          <w:rFonts w:ascii="Arial" w:hAnsi="Arial"/>
          <w:i/>
        </w:rPr>
      </w:pPr>
      <w:r>
        <w:t xml:space="preserve">Classe 25: </w:t>
      </w:r>
      <w:r>
        <w:rPr>
          <w:rFonts w:ascii="Arial" w:hAnsi="Arial"/>
          <w:i/>
        </w:rPr>
        <w:t>Confectionnés (vêtements -); vêtements; chapellerie; parties de vêtements, chaussures et chapellerie; souliers; sous-vêtements et vêtements de nuit; robes; tailleurs pour femmes; vêtements pour femmes; costumes</w:t>
      </w:r>
      <w:r>
        <w:rPr>
          <w:rFonts w:ascii="Arial" w:hAnsi="Arial"/>
          <w:i/>
          <w:spacing w:val="-1"/>
        </w:rPr>
        <w:t xml:space="preserve"> </w:t>
      </w:r>
      <w:r>
        <w:rPr>
          <w:rFonts w:ascii="Arial" w:hAnsi="Arial"/>
          <w:i/>
        </w:rPr>
        <w:t>pour hommes; costumes; sous-vêtements pour hommes; vêtements pour hommes, femmes et enfants; vêtements pour le cou; pardessus; chapeaux de</w:t>
      </w:r>
      <w:r>
        <w:rPr>
          <w:rFonts w:ascii="Arial" w:hAnsi="Arial"/>
          <w:i/>
          <w:spacing w:val="-1"/>
        </w:rPr>
        <w:t xml:space="preserve"> </w:t>
      </w:r>
      <w:r>
        <w:rPr>
          <w:rFonts w:ascii="Arial" w:hAnsi="Arial"/>
          <w:i/>
        </w:rPr>
        <w:t>fête</w:t>
      </w:r>
      <w:r>
        <w:rPr>
          <w:rFonts w:ascii="Arial" w:hAnsi="Arial"/>
          <w:i/>
          <w:spacing w:val="-1"/>
        </w:rPr>
        <w:t xml:space="preserve"> </w:t>
      </w:r>
      <w:r>
        <w:rPr>
          <w:rFonts w:ascii="Arial" w:hAnsi="Arial"/>
          <w:i/>
        </w:rPr>
        <w:t>[vêtements]; cache-corset; vêtements de</w:t>
      </w:r>
      <w:r>
        <w:rPr>
          <w:rFonts w:ascii="Arial" w:hAnsi="Arial"/>
          <w:i/>
          <w:spacing w:val="-1"/>
        </w:rPr>
        <w:t xml:space="preserve"> </w:t>
      </w:r>
      <w:r>
        <w:rPr>
          <w:rFonts w:ascii="Arial" w:hAnsi="Arial"/>
          <w:i/>
        </w:rPr>
        <w:t>salon; habillement de sport; cravates; châles; foulards; jupes; vestes; bonneterie; peignoirs; vêtements de plage; chandails;</w:t>
      </w:r>
      <w:r>
        <w:rPr>
          <w:rFonts w:ascii="Arial" w:hAnsi="Arial"/>
          <w:i/>
          <w:spacing w:val="-3"/>
        </w:rPr>
        <w:t xml:space="preserve"> </w:t>
      </w:r>
      <w:r>
        <w:rPr>
          <w:rFonts w:ascii="Arial" w:hAnsi="Arial"/>
          <w:i/>
        </w:rPr>
        <w:t>manteaux;</w:t>
      </w:r>
      <w:r>
        <w:rPr>
          <w:rFonts w:ascii="Arial" w:hAnsi="Arial"/>
          <w:i/>
          <w:spacing w:val="-3"/>
        </w:rPr>
        <w:t xml:space="preserve"> </w:t>
      </w:r>
      <w:r>
        <w:rPr>
          <w:rFonts w:ascii="Arial" w:hAnsi="Arial"/>
          <w:i/>
        </w:rPr>
        <w:t>imperméables;</w:t>
      </w:r>
      <w:r>
        <w:rPr>
          <w:rFonts w:ascii="Arial" w:hAnsi="Arial"/>
          <w:i/>
          <w:spacing w:val="-3"/>
        </w:rPr>
        <w:t xml:space="preserve"> </w:t>
      </w:r>
      <w:r>
        <w:rPr>
          <w:rFonts w:ascii="Arial" w:hAnsi="Arial"/>
          <w:i/>
        </w:rPr>
        <w:t>foulards;</w:t>
      </w:r>
      <w:r>
        <w:rPr>
          <w:rFonts w:ascii="Arial" w:hAnsi="Arial"/>
          <w:i/>
          <w:spacing w:val="-6"/>
        </w:rPr>
        <w:t xml:space="preserve"> </w:t>
      </w:r>
      <w:r>
        <w:rPr>
          <w:rFonts w:ascii="Arial" w:hAnsi="Arial"/>
          <w:i/>
        </w:rPr>
        <w:t>chapeaux;</w:t>
      </w:r>
      <w:r>
        <w:rPr>
          <w:rFonts w:ascii="Arial" w:hAnsi="Arial"/>
          <w:i/>
          <w:spacing w:val="-4"/>
        </w:rPr>
        <w:t xml:space="preserve"> </w:t>
      </w:r>
      <w:r>
        <w:rPr>
          <w:rFonts w:ascii="Arial" w:hAnsi="Arial"/>
          <w:i/>
        </w:rPr>
        <w:t>chemises;</w:t>
      </w:r>
      <w:r>
        <w:rPr>
          <w:rFonts w:ascii="Arial" w:hAnsi="Arial"/>
          <w:i/>
          <w:spacing w:val="-3"/>
        </w:rPr>
        <w:t xml:space="preserve"> </w:t>
      </w:r>
      <w:r>
        <w:rPr>
          <w:rFonts w:ascii="Arial" w:hAnsi="Arial"/>
          <w:i/>
        </w:rPr>
        <w:t>tee-shirts;</w:t>
      </w:r>
      <w:r>
        <w:rPr>
          <w:rFonts w:ascii="Arial" w:hAnsi="Arial"/>
          <w:i/>
          <w:spacing w:val="-6"/>
        </w:rPr>
        <w:t xml:space="preserve"> </w:t>
      </w:r>
      <w:r>
        <w:rPr>
          <w:rFonts w:ascii="Arial" w:hAnsi="Arial"/>
          <w:i/>
        </w:rPr>
        <w:t>vêtements</w:t>
      </w:r>
      <w:r>
        <w:rPr>
          <w:rFonts w:ascii="Arial" w:hAnsi="Arial"/>
          <w:i/>
          <w:spacing w:val="-4"/>
        </w:rPr>
        <w:t xml:space="preserve"> </w:t>
      </w:r>
      <w:r>
        <w:rPr>
          <w:rFonts w:ascii="Arial" w:hAnsi="Arial"/>
          <w:i/>
        </w:rPr>
        <w:t xml:space="preserve">en </w:t>
      </w:r>
      <w:r>
        <w:rPr>
          <w:rFonts w:ascii="Arial" w:hAnsi="Arial"/>
          <w:i/>
          <w:spacing w:val="-2"/>
        </w:rPr>
        <w:t>soie.</w:t>
      </w:r>
    </w:p>
    <w:p w14:paraId="7A07131C" w14:textId="77777777" w:rsidR="002B3448" w:rsidRDefault="002B3448">
      <w:pPr>
        <w:pStyle w:val="Corpsdetexte"/>
        <w:rPr>
          <w:rFonts w:ascii="Arial"/>
          <w:i/>
        </w:rPr>
      </w:pPr>
    </w:p>
    <w:p w14:paraId="7C752163" w14:textId="77777777" w:rsidR="002B3448" w:rsidRDefault="00000000">
      <w:pPr>
        <w:ind w:left="165" w:right="157"/>
        <w:jc w:val="both"/>
        <w:rPr>
          <w:rFonts w:ascii="Arial" w:hAnsi="Arial"/>
          <w:i/>
        </w:rPr>
      </w:pPr>
      <w:r>
        <w:t xml:space="preserve">Classe 35: </w:t>
      </w:r>
      <w:r>
        <w:rPr>
          <w:rFonts w:ascii="Arial" w:hAnsi="Arial"/>
          <w:i/>
        </w:rPr>
        <w:t>Services de vente au détail concernant les vêtements; services de vente en gros concernant les vêtements; services de vente au détail concernant les accessoires vestimentaires; services en ligne de magasins de vente au détail proposant des vêtements; services de vente au détail par correspondance de vêtements; services de vente au détail</w:t>
      </w:r>
      <w:r>
        <w:rPr>
          <w:rFonts w:ascii="Arial" w:hAnsi="Arial"/>
          <w:i/>
          <w:spacing w:val="80"/>
        </w:rPr>
        <w:t xml:space="preserve"> </w:t>
      </w:r>
      <w:r>
        <w:rPr>
          <w:rFonts w:ascii="Arial" w:hAnsi="Arial"/>
          <w:i/>
        </w:rPr>
        <w:t>en ligne de vêtements; services de vente au détail de vêtements et d’accessoires vestimentaires; services de vente au détail concernant la chapellerie; services de vente en gros concernant la chapellerie; services de vente au détail concernant les chaussures; services de vente en gros concernant les chaussures; services de vente</w:t>
      </w:r>
      <w:r>
        <w:rPr>
          <w:rFonts w:ascii="Arial" w:hAnsi="Arial"/>
          <w:i/>
          <w:spacing w:val="-2"/>
        </w:rPr>
        <w:t xml:space="preserve"> </w:t>
      </w:r>
      <w:r>
        <w:rPr>
          <w:rFonts w:ascii="Arial" w:hAnsi="Arial"/>
          <w:i/>
        </w:rPr>
        <w:t>en gros concernant les instruments esthétiques pour les humains; services de vente au détail concernant les instruments esthétiques pour les humains; services en ligne de magasins de détail</w:t>
      </w:r>
      <w:r>
        <w:rPr>
          <w:rFonts w:ascii="Arial" w:hAnsi="Arial"/>
          <w:i/>
          <w:spacing w:val="40"/>
        </w:rPr>
        <w:t xml:space="preserve"> </w:t>
      </w:r>
      <w:r>
        <w:rPr>
          <w:rFonts w:ascii="Arial" w:hAnsi="Arial"/>
          <w:i/>
        </w:rPr>
        <w:t>proposant des produits cosmétiques et de beauté; services de vente au détail en ligne de cosmétiques; services de vente au détail de boîtes par abonnement contenant des produits cosmétiques; services de vente au détail en ligne de sacs à main; services de vente au</w:t>
      </w:r>
      <w:r>
        <w:rPr>
          <w:rFonts w:ascii="Arial" w:hAnsi="Arial"/>
          <w:i/>
          <w:spacing w:val="40"/>
        </w:rPr>
        <w:t xml:space="preserve"> </w:t>
      </w:r>
      <w:r>
        <w:rPr>
          <w:rFonts w:ascii="Arial" w:hAnsi="Arial"/>
          <w:i/>
        </w:rPr>
        <w:t>détail en ligne d’articles de bijouterie; services de vente en gros concernant les bijoux; services de vente au détail concernant les bijoux; traitement administratif de commandes d’achats; services de démonstrations de produits et services d’affichage de produits; services d’importation et d’exportation; services de programmes de fidélisation, de stimulation et de bonus; promotion des ventes.</w:t>
      </w:r>
    </w:p>
    <w:p w14:paraId="348EDBDC" w14:textId="77777777" w:rsidR="002B3448" w:rsidRDefault="002B3448">
      <w:pPr>
        <w:pStyle w:val="Corpsdetexte"/>
        <w:spacing w:before="2"/>
        <w:rPr>
          <w:rFonts w:ascii="Arial"/>
          <w:i/>
        </w:rPr>
      </w:pPr>
    </w:p>
    <w:p w14:paraId="67955B5D" w14:textId="77777777" w:rsidR="002B3448" w:rsidRDefault="00000000">
      <w:pPr>
        <w:pStyle w:val="Corpsdetexte"/>
        <w:ind w:left="165" w:right="166"/>
        <w:jc w:val="both"/>
      </w:pPr>
      <w:r>
        <w:t>Il est nécessaire d’interpréter le libellé de la liste des produits et services afin de définir l’étendue de la protection de ces produits et services.</w:t>
      </w:r>
    </w:p>
    <w:p w14:paraId="67DEF3D2" w14:textId="77777777" w:rsidR="002B3448" w:rsidRDefault="00000000">
      <w:pPr>
        <w:pStyle w:val="Corpsdetexte"/>
        <w:spacing w:before="252"/>
        <w:ind w:left="165" w:right="162"/>
        <w:jc w:val="both"/>
      </w:pPr>
      <w:r>
        <w:t>Le terme «en particulier», utilisé dans la liste des produits de l’opposante, indique que les produits spécifiques ne sont que des exemples d’articles inclus dans la catégorie et que la protection ne leur est pas limitée. En d’autres termes, elle introduit une liste non exhaustive d’exemples (09/04/2003,-T 224/01, NU-TRIDE/TUFFTRIDE, EU:T:2003:107).</w:t>
      </w:r>
    </w:p>
    <w:p w14:paraId="6F3CB4D9" w14:textId="77777777" w:rsidR="002B3448" w:rsidRDefault="002B3448">
      <w:pPr>
        <w:pStyle w:val="Corpsdetexte"/>
      </w:pPr>
    </w:p>
    <w:p w14:paraId="06F2E8D0" w14:textId="77777777" w:rsidR="002B3448" w:rsidRDefault="00000000">
      <w:pPr>
        <w:pStyle w:val="Corpsdetexte"/>
        <w:ind w:left="165" w:right="165"/>
        <w:jc w:val="both"/>
      </w:pPr>
      <w:r>
        <w:t>Toutefois, le terme «à savoir», utilisé dans la liste des produits de l’opposante pour montrer le lien entre des produits et services individuels et une catégorie plus large, est exclusif et restreint l’étendue de la protection aux seuls produits spécifiquement énumérés.</w:t>
      </w:r>
    </w:p>
    <w:p w14:paraId="2FDA3055" w14:textId="77777777" w:rsidR="002B3448" w:rsidRDefault="002B3448">
      <w:pPr>
        <w:pStyle w:val="Corpsdetexte"/>
        <w:spacing w:before="1"/>
      </w:pPr>
    </w:p>
    <w:p w14:paraId="607CEC44" w14:textId="77777777" w:rsidR="002B3448" w:rsidRDefault="00000000">
      <w:pPr>
        <w:pStyle w:val="Corpsdetexte"/>
        <w:ind w:left="165" w:right="159"/>
        <w:jc w:val="both"/>
      </w:pPr>
      <w:r>
        <w:t>À titre liminaire, il convient de noter qu’en vertu de l’article 33, paragraphe</w:t>
      </w:r>
      <w:r>
        <w:rPr>
          <w:spacing w:val="-3"/>
        </w:rPr>
        <w:t xml:space="preserve"> </w:t>
      </w:r>
      <w:r>
        <w:t>7, du RMUE, des produits ou des services ne sont pas considérés comme similaires ou différents au motif qu’ils apparaissent dans la même classe ou dans des classes différentes de la classification de Nice.</w:t>
      </w:r>
    </w:p>
    <w:p w14:paraId="3380E02B" w14:textId="77777777" w:rsidR="002B3448" w:rsidRDefault="002B3448">
      <w:pPr>
        <w:pStyle w:val="Corpsdetexte"/>
        <w:spacing w:before="1"/>
      </w:pPr>
    </w:p>
    <w:p w14:paraId="7224A7F0" w14:textId="77777777" w:rsidR="002B3448" w:rsidRDefault="00000000">
      <w:pPr>
        <w:pStyle w:val="Corpsdetexte"/>
        <w:ind w:left="165" w:right="161"/>
        <w:jc w:val="both"/>
      </w:pPr>
      <w:r>
        <w:t>Les</w:t>
      </w:r>
      <w:r>
        <w:rPr>
          <w:spacing w:val="-4"/>
        </w:rPr>
        <w:t xml:space="preserve"> </w:t>
      </w:r>
      <w:r>
        <w:t>facteurs</w:t>
      </w:r>
      <w:r>
        <w:rPr>
          <w:spacing w:val="-1"/>
        </w:rPr>
        <w:t xml:space="preserve"> </w:t>
      </w:r>
      <w:r>
        <w:t>pertinents</w:t>
      </w:r>
      <w:r>
        <w:rPr>
          <w:spacing w:val="-1"/>
        </w:rPr>
        <w:t xml:space="preserve"> </w:t>
      </w:r>
      <w:r>
        <w:t>en</w:t>
      </w:r>
      <w:r>
        <w:rPr>
          <w:spacing w:val="-2"/>
        </w:rPr>
        <w:t xml:space="preserve"> </w:t>
      </w:r>
      <w:r>
        <w:t>ce</w:t>
      </w:r>
      <w:r>
        <w:rPr>
          <w:spacing w:val="-1"/>
        </w:rPr>
        <w:t xml:space="preserve"> </w:t>
      </w:r>
      <w:r>
        <w:t>qui</w:t>
      </w:r>
      <w:r>
        <w:rPr>
          <w:spacing w:val="-3"/>
        </w:rPr>
        <w:t xml:space="preserve"> </w:t>
      </w:r>
      <w:r>
        <w:t>concerne</w:t>
      </w:r>
      <w:r>
        <w:rPr>
          <w:spacing w:val="-2"/>
        </w:rPr>
        <w:t xml:space="preserve"> </w:t>
      </w:r>
      <w:r>
        <w:t>la</w:t>
      </w:r>
      <w:r>
        <w:rPr>
          <w:spacing w:val="-2"/>
        </w:rPr>
        <w:t xml:space="preserve"> </w:t>
      </w:r>
      <w:r>
        <w:t>comparaison</w:t>
      </w:r>
      <w:r>
        <w:rPr>
          <w:spacing w:val="-2"/>
        </w:rPr>
        <w:t xml:space="preserve"> </w:t>
      </w:r>
      <w:r>
        <w:t>des</w:t>
      </w:r>
      <w:r>
        <w:rPr>
          <w:spacing w:val="-1"/>
        </w:rPr>
        <w:t xml:space="preserve"> </w:t>
      </w:r>
      <w:r>
        <w:t>produits</w:t>
      </w:r>
      <w:r>
        <w:rPr>
          <w:spacing w:val="-1"/>
        </w:rPr>
        <w:t xml:space="preserve"> </w:t>
      </w:r>
      <w:r>
        <w:t>ou</w:t>
      </w:r>
      <w:r>
        <w:rPr>
          <w:spacing w:val="-4"/>
        </w:rPr>
        <w:t xml:space="preserve"> </w:t>
      </w:r>
      <w:r>
        <w:t>services</w:t>
      </w:r>
      <w:r>
        <w:rPr>
          <w:spacing w:val="-2"/>
        </w:rPr>
        <w:t xml:space="preserve"> </w:t>
      </w:r>
      <w:r>
        <w:t xml:space="preserve">incluent, en particulier, la nature et la destination des produits ou services, les canaux de distribution, les points de vente, les producteurs, l’utilisation ainsi que leur caractère concurrent ou </w:t>
      </w:r>
      <w:r>
        <w:rPr>
          <w:spacing w:val="-2"/>
        </w:rPr>
        <w:t>complémentaire.</w:t>
      </w:r>
    </w:p>
    <w:p w14:paraId="034B859F" w14:textId="77777777" w:rsidR="002B3448" w:rsidRDefault="00000000">
      <w:pPr>
        <w:pStyle w:val="Titre1"/>
        <w:spacing w:before="253"/>
        <w:ind w:left="227"/>
        <w:jc w:val="both"/>
      </w:pPr>
      <w:r>
        <w:t>Produits</w:t>
      </w:r>
      <w:r>
        <w:rPr>
          <w:spacing w:val="-4"/>
        </w:rPr>
        <w:t xml:space="preserve"> </w:t>
      </w:r>
      <w:r>
        <w:t>contestés</w:t>
      </w:r>
      <w:r>
        <w:rPr>
          <w:spacing w:val="-6"/>
        </w:rPr>
        <w:t xml:space="preserve"> </w:t>
      </w:r>
      <w:r>
        <w:t>compris</w:t>
      </w:r>
      <w:r>
        <w:rPr>
          <w:spacing w:val="-6"/>
        </w:rPr>
        <w:t xml:space="preserve"> </w:t>
      </w:r>
      <w:r>
        <w:t>dans</w:t>
      </w:r>
      <w:r>
        <w:rPr>
          <w:spacing w:val="-6"/>
        </w:rPr>
        <w:t xml:space="preserve"> </w:t>
      </w:r>
      <w:r>
        <w:t>la</w:t>
      </w:r>
      <w:r>
        <w:rPr>
          <w:spacing w:val="-6"/>
        </w:rPr>
        <w:t xml:space="preserve"> </w:t>
      </w:r>
      <w:r>
        <w:t>classe</w:t>
      </w:r>
      <w:r>
        <w:rPr>
          <w:spacing w:val="-6"/>
        </w:rPr>
        <w:t xml:space="preserve"> </w:t>
      </w:r>
      <w:r>
        <w:rPr>
          <w:spacing w:val="-5"/>
        </w:rPr>
        <w:t>25</w:t>
      </w:r>
    </w:p>
    <w:p w14:paraId="0351D9BD" w14:textId="77777777" w:rsidR="002B3448" w:rsidRDefault="002B3448">
      <w:pPr>
        <w:pStyle w:val="Corpsdetexte"/>
        <w:rPr>
          <w:rFonts w:ascii="Arial"/>
          <w:b/>
        </w:rPr>
      </w:pPr>
    </w:p>
    <w:p w14:paraId="761AEB3F" w14:textId="77777777" w:rsidR="002B3448" w:rsidRDefault="00000000">
      <w:pPr>
        <w:ind w:left="165" w:right="161"/>
        <w:jc w:val="both"/>
        <w:rPr>
          <w:rFonts w:ascii="Arial" w:hAnsi="Arial"/>
          <w:i/>
        </w:rPr>
      </w:pPr>
      <w:r>
        <w:t xml:space="preserve">Les vêtements </w:t>
      </w:r>
      <w:r>
        <w:rPr>
          <w:rFonts w:ascii="Arial" w:hAnsi="Arial"/>
          <w:i/>
        </w:rPr>
        <w:t>confectionnés contestés; vêtements; sous-vêtements et vêtements de nuit; robes; tailleurs pour femmes; vêtements pour femmes; costumes pour hommes; costumes;</w:t>
      </w:r>
    </w:p>
    <w:p w14:paraId="01BFBA96" w14:textId="77777777" w:rsidR="002B3448" w:rsidRDefault="002B3448">
      <w:pPr>
        <w:jc w:val="both"/>
        <w:rPr>
          <w:rFonts w:ascii="Arial" w:hAnsi="Arial"/>
          <w:i/>
        </w:rPr>
        <w:sectPr w:rsidR="002B3448">
          <w:pgSz w:w="11910" w:h="16840"/>
          <w:pgMar w:top="1000" w:right="1275" w:bottom="280" w:left="1275" w:header="727" w:footer="0" w:gutter="0"/>
          <w:cols w:space="720"/>
        </w:sectPr>
      </w:pPr>
    </w:p>
    <w:p w14:paraId="3365AB4A" w14:textId="77777777" w:rsidR="002B3448"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31200" behindDoc="0" locked="0" layoutInCell="1" allowOverlap="1" wp14:anchorId="432C9E46" wp14:editId="21C0B507">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F5B305C"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200" type="#_x0000_t202" id="docshape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5E690276" w14:textId="77777777" w:rsidR="002B3448" w:rsidRDefault="00000000">
      <w:pPr>
        <w:ind w:left="165" w:right="158"/>
        <w:jc w:val="both"/>
      </w:pPr>
      <w:r>
        <w:rPr>
          <w:rFonts w:ascii="Arial" w:hAnsi="Arial"/>
          <w:i/>
        </w:rPr>
        <w:t>sous-vêtements pour hommes; vêtements pour hommes, femmes et enfants; vêtements</w:t>
      </w:r>
      <w:r>
        <w:rPr>
          <w:rFonts w:ascii="Arial" w:hAnsi="Arial"/>
          <w:i/>
          <w:spacing w:val="40"/>
        </w:rPr>
        <w:t xml:space="preserve"> </w:t>
      </w:r>
      <w:r>
        <w:rPr>
          <w:rFonts w:ascii="Arial" w:hAnsi="Arial"/>
          <w:i/>
        </w:rPr>
        <w:t xml:space="preserve">pour le cou; pardessus; cache-corset; vêtements de salon; habillement de sport; cravates; châles; jupes; vestes; bonneterie; peignoirs; vêtements de plage; chandails; manteaux; imperméables; foulards; chemises; tee-shirts; </w:t>
      </w:r>
      <w:r>
        <w:t>les vêtements en soie sont inclus dans la catégorie</w:t>
      </w:r>
      <w:r>
        <w:rPr>
          <w:spacing w:val="-2"/>
        </w:rPr>
        <w:t xml:space="preserve"> </w:t>
      </w:r>
      <w:r>
        <w:t xml:space="preserve">générale des </w:t>
      </w:r>
      <w:r>
        <w:rPr>
          <w:rFonts w:ascii="Arial" w:hAnsi="Arial"/>
          <w:i/>
        </w:rPr>
        <w:t>vêtements</w:t>
      </w:r>
      <w:r>
        <w:t>de l’opposante</w:t>
      </w:r>
      <w:r>
        <w:rPr>
          <w:spacing w:val="-2"/>
        </w:rPr>
        <w:t xml:space="preserve"> </w:t>
      </w:r>
      <w:r>
        <w:t>(des marques antérieures 1 et 2)</w:t>
      </w:r>
      <w:r>
        <w:rPr>
          <w:rFonts w:ascii="Arial" w:hAnsi="Arial"/>
          <w:i/>
        </w:rPr>
        <w:t xml:space="preserve">. </w:t>
      </w:r>
      <w:r>
        <w:t xml:space="preserve">Dès lors, ils sont </w:t>
      </w:r>
      <w:r>
        <w:rPr>
          <w:u w:val="single"/>
        </w:rPr>
        <w:t>identiques.</w:t>
      </w:r>
    </w:p>
    <w:p w14:paraId="7D904BC5" w14:textId="77777777" w:rsidR="002B3448" w:rsidRDefault="002B3448">
      <w:pPr>
        <w:pStyle w:val="Corpsdetexte"/>
        <w:spacing w:before="1"/>
      </w:pPr>
    </w:p>
    <w:p w14:paraId="23B7BBC8" w14:textId="77777777" w:rsidR="002B3448" w:rsidRDefault="00000000">
      <w:pPr>
        <w:ind w:left="165" w:right="159"/>
        <w:jc w:val="both"/>
      </w:pPr>
      <w:r>
        <w:rPr>
          <w:rFonts w:ascii="Arial" w:hAnsi="Arial"/>
          <w:i/>
        </w:rPr>
        <w:t xml:space="preserve">Chapellerie contestée; chapeaux de fête [vêtements]; foulards; </w:t>
      </w:r>
      <w:r>
        <w:t xml:space="preserve">les chapeaux sont inclus à l’identique (en tant que synonymes) dans la marque antérieure no 2 ou sont inclus dans la catégorie plus large de la </w:t>
      </w:r>
      <w:r>
        <w:rPr>
          <w:rFonts w:ascii="Arial" w:hAnsi="Arial"/>
          <w:i/>
        </w:rPr>
        <w:t xml:space="preserve">chapellerie de l’opposante </w:t>
      </w:r>
      <w:r>
        <w:t xml:space="preserve">(de la marque antérieure no 1). Dès lors, ils sont </w:t>
      </w:r>
      <w:r>
        <w:rPr>
          <w:u w:val="single"/>
        </w:rPr>
        <w:t>identiques.</w:t>
      </w:r>
    </w:p>
    <w:p w14:paraId="5AAB9AD5" w14:textId="77777777" w:rsidR="002B3448" w:rsidRDefault="002B3448">
      <w:pPr>
        <w:pStyle w:val="Corpsdetexte"/>
      </w:pPr>
    </w:p>
    <w:p w14:paraId="045FB98B" w14:textId="77777777" w:rsidR="002B3448" w:rsidRDefault="00000000">
      <w:pPr>
        <w:pStyle w:val="Corpsdetexte"/>
        <w:ind w:left="165"/>
      </w:pPr>
      <w:r>
        <w:t>Les</w:t>
      </w:r>
      <w:r>
        <w:rPr>
          <w:spacing w:val="29"/>
        </w:rPr>
        <w:t xml:space="preserve"> </w:t>
      </w:r>
      <w:r>
        <w:rPr>
          <w:rFonts w:ascii="Arial" w:hAnsi="Arial"/>
          <w:i/>
        </w:rPr>
        <w:t xml:space="preserve">chaussures </w:t>
      </w:r>
      <w:r>
        <w:t>contestées</w:t>
      </w:r>
      <w:r>
        <w:rPr>
          <w:spacing w:val="29"/>
        </w:rPr>
        <w:t xml:space="preserve"> </w:t>
      </w:r>
      <w:r>
        <w:t>sont</w:t>
      </w:r>
      <w:r>
        <w:rPr>
          <w:spacing w:val="30"/>
        </w:rPr>
        <w:t xml:space="preserve"> </w:t>
      </w:r>
      <w:r>
        <w:t>incluses dans la</w:t>
      </w:r>
      <w:r>
        <w:rPr>
          <w:spacing w:val="28"/>
        </w:rPr>
        <w:t xml:space="preserve"> </w:t>
      </w:r>
      <w:r>
        <w:t>catégorie</w:t>
      </w:r>
      <w:r>
        <w:rPr>
          <w:spacing w:val="28"/>
        </w:rPr>
        <w:t xml:space="preserve"> </w:t>
      </w:r>
      <w:r>
        <w:t>plus large des</w:t>
      </w:r>
      <w:r>
        <w:rPr>
          <w:spacing w:val="34"/>
        </w:rPr>
        <w:t xml:space="preserve"> </w:t>
      </w:r>
      <w:r>
        <w:rPr>
          <w:rFonts w:ascii="Arial" w:hAnsi="Arial"/>
          <w:i/>
        </w:rPr>
        <w:t xml:space="preserve">chaussures </w:t>
      </w:r>
      <w:r>
        <w:t xml:space="preserve">de l’opposante (de la marque antérieure no 2). Dès lors, ils sont </w:t>
      </w:r>
      <w:r>
        <w:rPr>
          <w:u w:val="single"/>
        </w:rPr>
        <w:t>identiques.</w:t>
      </w:r>
    </w:p>
    <w:p w14:paraId="675DCD01" w14:textId="77777777" w:rsidR="002B3448" w:rsidRDefault="002B3448">
      <w:pPr>
        <w:pStyle w:val="Corpsdetexte"/>
      </w:pPr>
    </w:p>
    <w:p w14:paraId="148E9275" w14:textId="77777777" w:rsidR="002B3448" w:rsidRDefault="00000000">
      <w:pPr>
        <w:ind w:left="165" w:right="159"/>
        <w:jc w:val="both"/>
      </w:pPr>
      <w:r>
        <w:t xml:space="preserve">Les </w:t>
      </w:r>
      <w:r>
        <w:rPr>
          <w:rFonts w:ascii="Arial" w:hAnsi="Arial"/>
          <w:i/>
        </w:rPr>
        <w:t xml:space="preserve">parties de chaussures contestées </w:t>
      </w:r>
      <w:r>
        <w:t>incluent, en tant que catégorie plus large, les</w:t>
      </w:r>
      <w:r>
        <w:rPr>
          <w:spacing w:val="40"/>
        </w:rPr>
        <w:t xml:space="preserve"> </w:t>
      </w:r>
      <w:r>
        <w:rPr>
          <w:rFonts w:ascii="Arial" w:hAnsi="Arial"/>
          <w:i/>
        </w:rPr>
        <w:t xml:space="preserve">semelles pour chaussures </w:t>
      </w:r>
      <w:r>
        <w:t xml:space="preserve">de l’opposante (de la marque antérieure no 1). La division d’opposition ne pouvant décomposer </w:t>
      </w:r>
      <w:r>
        <w:rPr>
          <w:rFonts w:ascii="Arial" w:hAnsi="Arial"/>
          <w:i/>
        </w:rPr>
        <w:t xml:space="preserve">d’office </w:t>
      </w:r>
      <w:r>
        <w:t>la vaste catégorie des produits contestés,</w:t>
      </w:r>
      <w:r>
        <w:rPr>
          <w:spacing w:val="40"/>
        </w:rPr>
        <w:t xml:space="preserve"> </w:t>
      </w:r>
      <w:r>
        <w:t xml:space="preserve">ceux-ci sont considérés comme </w:t>
      </w:r>
      <w:r>
        <w:rPr>
          <w:u w:val="single"/>
        </w:rPr>
        <w:t xml:space="preserve">identiques </w:t>
      </w:r>
      <w:r>
        <w:t>aux produits de l’opposante;</w:t>
      </w:r>
    </w:p>
    <w:p w14:paraId="3C9545FB" w14:textId="77777777" w:rsidR="002B3448" w:rsidRDefault="002B3448">
      <w:pPr>
        <w:pStyle w:val="Corpsdetexte"/>
      </w:pPr>
    </w:p>
    <w:p w14:paraId="45AA7FDB" w14:textId="77777777" w:rsidR="002B3448" w:rsidRDefault="00000000">
      <w:pPr>
        <w:pStyle w:val="Corpsdetexte"/>
        <w:ind w:left="165" w:right="156"/>
        <w:jc w:val="both"/>
      </w:pPr>
      <w:r>
        <w:t xml:space="preserve">Les </w:t>
      </w:r>
      <w:r>
        <w:rPr>
          <w:rFonts w:ascii="Arial" w:hAnsi="Arial"/>
          <w:i/>
        </w:rPr>
        <w:t xml:space="preserve">parties contestées des vêtements </w:t>
      </w:r>
      <w:r>
        <w:t xml:space="preserve">sont </w:t>
      </w:r>
      <w:r>
        <w:rPr>
          <w:u w:val="single"/>
        </w:rPr>
        <w:t>similaires</w:t>
      </w:r>
      <w:r>
        <w:t xml:space="preserve"> aux </w:t>
      </w:r>
      <w:r>
        <w:rPr>
          <w:rFonts w:ascii="Arial" w:hAnsi="Arial"/>
          <w:i/>
        </w:rPr>
        <w:t xml:space="preserve">vêtements </w:t>
      </w:r>
      <w:r>
        <w:t>de l’opposante (désignés par les marques antérieures 1 et 3), étant donné que les vêtements comprennent des soutiens-gorge et des parties de vêtements comprennent des produits tels que des sangles de soutien-gorge, qui sont généralement amovibles et peuvent être vendus séparément. Dès lors, les produits en cause peuvent cibler le même public pertinent, partager les mêmes canaux de distribution et être produits par les mêmes entreprises. En outre, ils peuvent également être complémentaires.</w:t>
      </w:r>
    </w:p>
    <w:p w14:paraId="38F7CDF3" w14:textId="77777777" w:rsidR="002B3448" w:rsidRDefault="00000000">
      <w:pPr>
        <w:pStyle w:val="Corpsdetexte"/>
        <w:spacing w:before="252"/>
        <w:ind w:left="165" w:right="157"/>
        <w:jc w:val="both"/>
      </w:pPr>
      <w:r>
        <w:t xml:space="preserve">Les </w:t>
      </w:r>
      <w:r>
        <w:rPr>
          <w:rFonts w:ascii="Arial" w:hAnsi="Arial"/>
          <w:i/>
        </w:rPr>
        <w:t xml:space="preserve">parties de chapellerie contestées </w:t>
      </w:r>
      <w:r>
        <w:t xml:space="preserve">sont </w:t>
      </w:r>
      <w:r>
        <w:rPr>
          <w:u w:val="single"/>
        </w:rPr>
        <w:t xml:space="preserve">similaires </w:t>
      </w:r>
      <w:r>
        <w:t xml:space="preserve">à la </w:t>
      </w:r>
      <w:r>
        <w:rPr>
          <w:rFonts w:ascii="Arial" w:hAnsi="Arial"/>
          <w:i/>
        </w:rPr>
        <w:t xml:space="preserve">chapellerie de l’opposante (de </w:t>
      </w:r>
      <w:r>
        <w:t>la marque antérieure no 1). En effet, la chapellerie comprend des casquettes et des pièces de chapellerie comprennent des produits tels que des pièges à col, qui peuvent être vendus séparément en tant que parties détachables de bonnets. Dès lors, les produits en cause peuvent cibler le même public pertinent, partager les mêmes canaux de distribution et être produits par les mêmes entreprises. En outre, ils peuvent également être complémentaires.</w:t>
      </w:r>
    </w:p>
    <w:p w14:paraId="15A4B181" w14:textId="77777777" w:rsidR="002B3448" w:rsidRDefault="002B3448">
      <w:pPr>
        <w:pStyle w:val="Corpsdetexte"/>
        <w:spacing w:before="1"/>
      </w:pPr>
    </w:p>
    <w:p w14:paraId="6A3A6D9D" w14:textId="77777777" w:rsidR="002B3448" w:rsidRDefault="00000000">
      <w:pPr>
        <w:pStyle w:val="Titre1"/>
        <w:ind w:left="165"/>
        <w:jc w:val="both"/>
      </w:pPr>
      <w:r>
        <w:t>Services</w:t>
      </w:r>
      <w:r>
        <w:rPr>
          <w:spacing w:val="-4"/>
        </w:rPr>
        <w:t xml:space="preserve"> </w:t>
      </w:r>
      <w:r>
        <w:t>contestés</w:t>
      </w:r>
      <w:r>
        <w:rPr>
          <w:spacing w:val="-6"/>
        </w:rPr>
        <w:t xml:space="preserve"> </w:t>
      </w:r>
      <w:r>
        <w:t>compris</w:t>
      </w:r>
      <w:r>
        <w:rPr>
          <w:spacing w:val="-6"/>
        </w:rPr>
        <w:t xml:space="preserve"> </w:t>
      </w:r>
      <w:r>
        <w:t>dans</w:t>
      </w:r>
      <w:r>
        <w:rPr>
          <w:spacing w:val="-6"/>
        </w:rPr>
        <w:t xml:space="preserve"> </w:t>
      </w:r>
      <w:r>
        <w:t>la</w:t>
      </w:r>
      <w:r>
        <w:rPr>
          <w:spacing w:val="-6"/>
        </w:rPr>
        <w:t xml:space="preserve"> </w:t>
      </w:r>
      <w:r>
        <w:t>classe</w:t>
      </w:r>
      <w:r>
        <w:rPr>
          <w:spacing w:val="-6"/>
        </w:rPr>
        <w:t xml:space="preserve"> </w:t>
      </w:r>
      <w:r>
        <w:rPr>
          <w:spacing w:val="-5"/>
        </w:rPr>
        <w:t>35</w:t>
      </w:r>
    </w:p>
    <w:p w14:paraId="5E8C1260" w14:textId="77777777" w:rsidR="002B3448" w:rsidRDefault="002B3448">
      <w:pPr>
        <w:pStyle w:val="Corpsdetexte"/>
        <w:rPr>
          <w:rFonts w:ascii="Arial"/>
          <w:b/>
        </w:rPr>
      </w:pPr>
    </w:p>
    <w:p w14:paraId="3EA9CDC2" w14:textId="77777777" w:rsidR="002B3448" w:rsidRDefault="00000000">
      <w:pPr>
        <w:pStyle w:val="Corpsdetexte"/>
        <w:ind w:left="165" w:right="156"/>
        <w:jc w:val="both"/>
      </w:pPr>
      <w:r>
        <w:t>Les services de vente au détail de produits spécifiques présentent un degré de similitude moyen avec lesdits produits. Bien que ces produits et services diffèrent par leur nature, leur destination et leurs modalités d’utilisation, ils sont similaires car ils sont complémentaires et les services sont généralement proposés dans les mêmes lieux que ceux où les produits sont mis en vente. En outre, ils ciblent le même public.</w:t>
      </w:r>
    </w:p>
    <w:p w14:paraId="13476000" w14:textId="77777777" w:rsidR="002B3448" w:rsidRDefault="002B3448">
      <w:pPr>
        <w:pStyle w:val="Corpsdetexte"/>
        <w:spacing w:before="2"/>
      </w:pPr>
    </w:p>
    <w:p w14:paraId="343A8F48" w14:textId="77777777" w:rsidR="002B3448" w:rsidRDefault="00000000">
      <w:pPr>
        <w:pStyle w:val="Corpsdetexte"/>
        <w:ind w:left="165" w:right="163"/>
        <w:jc w:val="both"/>
      </w:pPr>
      <w:r>
        <w:t>Les mêmes principes s’appliquent aux services fournis en rapport avec d’autres types de services qui consistent exclusivement en des activités liées à la vente effective de produits, tels que les services de vente en gros, les achats sur l’internet, les services de catalogue ou de vente par correspondance compris dans la classe 35.</w:t>
      </w:r>
    </w:p>
    <w:p w14:paraId="4597883C" w14:textId="77777777" w:rsidR="002B3448" w:rsidRDefault="002B3448">
      <w:pPr>
        <w:pStyle w:val="Corpsdetexte"/>
      </w:pPr>
    </w:p>
    <w:p w14:paraId="61523FC9" w14:textId="77777777" w:rsidR="002B3448" w:rsidRDefault="00000000">
      <w:pPr>
        <w:ind w:left="165" w:right="158"/>
        <w:jc w:val="both"/>
        <w:rPr>
          <w:rFonts w:ascii="Arial" w:hAnsi="Arial"/>
          <w:i/>
        </w:rPr>
      </w:pPr>
      <w:r>
        <w:t>Par</w:t>
      </w:r>
      <w:r>
        <w:rPr>
          <w:spacing w:val="-1"/>
        </w:rPr>
        <w:t xml:space="preserve"> </w:t>
      </w:r>
      <w:r>
        <w:t>conséquent, et</w:t>
      </w:r>
      <w:r>
        <w:rPr>
          <w:spacing w:val="-3"/>
        </w:rPr>
        <w:t xml:space="preserve"> </w:t>
      </w:r>
      <w:r>
        <w:t>compte</w:t>
      </w:r>
      <w:r>
        <w:rPr>
          <w:spacing w:val="-2"/>
        </w:rPr>
        <w:t xml:space="preserve"> </w:t>
      </w:r>
      <w:r>
        <w:t>tenu</w:t>
      </w:r>
      <w:r>
        <w:rPr>
          <w:spacing w:val="-2"/>
        </w:rPr>
        <w:t xml:space="preserve"> </w:t>
      </w:r>
      <w:r>
        <w:t>également de</w:t>
      </w:r>
      <w:r>
        <w:rPr>
          <w:spacing w:val="-4"/>
        </w:rPr>
        <w:t xml:space="preserve"> </w:t>
      </w:r>
      <w:r>
        <w:t>toutes</w:t>
      </w:r>
      <w:r>
        <w:rPr>
          <w:spacing w:val="-2"/>
        </w:rPr>
        <w:t xml:space="preserve"> </w:t>
      </w:r>
      <w:r>
        <w:t>les</w:t>
      </w:r>
      <w:r>
        <w:rPr>
          <w:spacing w:val="-2"/>
        </w:rPr>
        <w:t xml:space="preserve"> </w:t>
      </w:r>
      <w:r>
        <w:t>comparaisons</w:t>
      </w:r>
      <w:r>
        <w:rPr>
          <w:spacing w:val="-2"/>
        </w:rPr>
        <w:t xml:space="preserve"> </w:t>
      </w:r>
      <w:r>
        <w:t>effectuées</w:t>
      </w:r>
      <w:r>
        <w:rPr>
          <w:spacing w:val="-2"/>
        </w:rPr>
        <w:t xml:space="preserve"> </w:t>
      </w:r>
      <w:r>
        <w:t xml:space="preserve">ci-dessus en ce qui concerne les produits contestés compris dans la classe 25, les services de </w:t>
      </w:r>
      <w:r>
        <w:rPr>
          <w:rFonts w:ascii="Arial" w:hAnsi="Arial"/>
          <w:i/>
        </w:rPr>
        <w:t>vente au détail contestés concernant les vêtements; services de vente en gros concernant les vêtements; services de vente au détail concernant les accessoires vestimentaires; services en ligne de magasins de vente au détail proposant des vêtements; services de vente au détail par correspondance de vêtements; services de vente au détail en ligne de vêtements;</w:t>
      </w:r>
    </w:p>
    <w:p w14:paraId="2B65E1A1" w14:textId="77777777" w:rsidR="002B3448" w:rsidRDefault="002B3448">
      <w:pPr>
        <w:jc w:val="both"/>
        <w:rPr>
          <w:rFonts w:ascii="Arial" w:hAnsi="Arial"/>
          <w:i/>
        </w:rPr>
        <w:sectPr w:rsidR="002B3448">
          <w:pgSz w:w="11910" w:h="16840"/>
          <w:pgMar w:top="1000" w:right="1275" w:bottom="280" w:left="1275" w:header="727" w:footer="0" w:gutter="0"/>
          <w:cols w:space="720"/>
        </w:sectPr>
      </w:pPr>
    </w:p>
    <w:p w14:paraId="7E8DAEA2" w14:textId="77777777" w:rsidR="002B3448" w:rsidRDefault="00000000">
      <w:pPr>
        <w:pStyle w:val="Corpsdetexte"/>
        <w:spacing w:before="181"/>
        <w:rPr>
          <w:rFonts w:ascii="Arial"/>
          <w:i/>
        </w:rPr>
      </w:pPr>
      <w:r>
        <w:rPr>
          <w:rFonts w:ascii="Arial"/>
          <w:i/>
          <w:noProof/>
        </w:rPr>
        <w:lastRenderedPageBreak/>
        <mc:AlternateContent>
          <mc:Choice Requires="wps">
            <w:drawing>
              <wp:anchor distT="0" distB="0" distL="0" distR="0" simplePos="0" relativeHeight="15731712" behindDoc="0" locked="0" layoutInCell="1" allowOverlap="1" wp14:anchorId="78ED9FF6" wp14:editId="4F1E9913">
                <wp:simplePos x="0" y="0"/>
                <wp:positionH relativeFrom="page">
                  <wp:posOffset>270575</wp:posOffset>
                </wp:positionH>
                <wp:positionV relativeFrom="page">
                  <wp:posOffset>1114363</wp:posOffset>
                </wp:positionV>
                <wp:extent cx="146050" cy="9210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6444270"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712" type="#_x0000_t202" id="docshape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1C717231" w14:textId="77777777" w:rsidR="002B3448" w:rsidRDefault="00000000">
      <w:pPr>
        <w:ind w:left="165" w:right="159"/>
        <w:jc w:val="both"/>
      </w:pPr>
      <w:r>
        <w:rPr>
          <w:rFonts w:ascii="Arial" w:hAnsi="Arial"/>
          <w:i/>
        </w:rPr>
        <w:t xml:space="preserve">les services de vente au détail de vêtements et d’accessoires vestimentaires </w:t>
      </w:r>
      <w:r>
        <w:t xml:space="preserve">sont </w:t>
      </w:r>
      <w:r>
        <w:rPr>
          <w:u w:val="single"/>
        </w:rPr>
        <w:t>similaires</w:t>
      </w:r>
      <w:r>
        <w:t xml:space="preserve"> aux </w:t>
      </w:r>
      <w:r>
        <w:rPr>
          <w:rFonts w:ascii="Arial" w:hAnsi="Arial"/>
          <w:i/>
        </w:rPr>
        <w:t xml:space="preserve">vêtements </w:t>
      </w:r>
      <w:r>
        <w:t>de l’opposante (des marques antérieures 1 et 2).</w:t>
      </w:r>
    </w:p>
    <w:p w14:paraId="473686A9" w14:textId="77777777" w:rsidR="002B3448" w:rsidRDefault="002B3448">
      <w:pPr>
        <w:pStyle w:val="Corpsdetexte"/>
      </w:pPr>
    </w:p>
    <w:p w14:paraId="11D8D877" w14:textId="77777777" w:rsidR="002B3448" w:rsidRDefault="00000000">
      <w:pPr>
        <w:ind w:left="165" w:right="158"/>
        <w:jc w:val="both"/>
      </w:pPr>
      <w:r>
        <w:t>Enoutre, les services</w:t>
      </w:r>
      <w:r>
        <w:rPr>
          <w:rFonts w:ascii="Arial" w:hAnsi="Arial"/>
          <w:i/>
        </w:rPr>
        <w:t xml:space="preserve">de vente au détail </w:t>
      </w:r>
      <w:r>
        <w:t xml:space="preserve">concernant la chapellerie contestés; les services de vente en gros concernant la chapellerie sont </w:t>
      </w:r>
      <w:r>
        <w:rPr>
          <w:u w:val="single"/>
        </w:rPr>
        <w:t>similaires</w:t>
      </w:r>
      <w:r>
        <w:t xml:space="preserve"> aux articles de </w:t>
      </w:r>
      <w:r>
        <w:rPr>
          <w:rFonts w:ascii="Arial" w:hAnsi="Arial"/>
          <w:i/>
        </w:rPr>
        <w:t xml:space="preserve">chapellerie de l’opposante </w:t>
      </w:r>
      <w:r>
        <w:t xml:space="preserve">(de la marque antérieure no 1) et aux services de </w:t>
      </w:r>
      <w:r>
        <w:rPr>
          <w:rFonts w:ascii="Arial" w:hAnsi="Arial"/>
          <w:i/>
        </w:rPr>
        <w:t xml:space="preserve">vente au détail contestés concernant les chaussures; les services de vente en gros concernant </w:t>
      </w:r>
      <w:r>
        <w:t xml:space="preserve">les chaussures sont </w:t>
      </w:r>
      <w:r>
        <w:rPr>
          <w:u w:val="single"/>
        </w:rPr>
        <w:t>similaires</w:t>
      </w:r>
      <w:r>
        <w:t xml:space="preserve"> aux </w:t>
      </w:r>
      <w:r>
        <w:rPr>
          <w:rFonts w:ascii="Arial" w:hAnsi="Arial"/>
          <w:i/>
        </w:rPr>
        <w:t xml:space="preserve">chaussures </w:t>
      </w:r>
      <w:r>
        <w:t>de l’opposante (de la marque antérieure no 2).</w:t>
      </w:r>
    </w:p>
    <w:p w14:paraId="46F50341" w14:textId="77777777" w:rsidR="002B3448" w:rsidRDefault="002B3448">
      <w:pPr>
        <w:pStyle w:val="Corpsdetexte"/>
        <w:spacing w:before="1"/>
      </w:pPr>
    </w:p>
    <w:p w14:paraId="408AAD07" w14:textId="77777777" w:rsidR="002B3448" w:rsidRDefault="00000000">
      <w:pPr>
        <w:ind w:left="165" w:right="157"/>
        <w:jc w:val="both"/>
      </w:pPr>
      <w:r>
        <w:t xml:space="preserve">Les services de vente au détail </w:t>
      </w:r>
      <w:r>
        <w:rPr>
          <w:rFonts w:ascii="Arial" w:hAnsi="Arial"/>
          <w:i/>
        </w:rPr>
        <w:t xml:space="preserve">en ligne de bijoux contestés; services de vente en gros concernant les bijoux; les services de vente au détail concernant </w:t>
      </w:r>
      <w:r>
        <w:t xml:space="preserve">les bijoux sont </w:t>
      </w:r>
      <w:r>
        <w:rPr>
          <w:u w:val="single"/>
        </w:rPr>
        <w:t>similaires</w:t>
      </w:r>
      <w:r>
        <w:t xml:space="preserve"> aux boutons de </w:t>
      </w:r>
      <w:r>
        <w:rPr>
          <w:rFonts w:ascii="Arial" w:hAnsi="Arial"/>
          <w:i/>
        </w:rPr>
        <w:t xml:space="preserve">manchette </w:t>
      </w:r>
      <w:r>
        <w:t>de l’opposante comprisdans la classe 14 (de la marque antérieure no 3). En effet, les boutons de manchettes compris dans cette classe sont inclus dans la catégorie générale des bijoux et sont donc identiques à ces derniers et, comme expliqué</w:t>
      </w:r>
      <w:r>
        <w:rPr>
          <w:spacing w:val="-2"/>
        </w:rPr>
        <w:t xml:space="preserve"> </w:t>
      </w:r>
      <w:r>
        <w:t>ci-dessus, les</w:t>
      </w:r>
      <w:r>
        <w:rPr>
          <w:spacing w:val="-2"/>
        </w:rPr>
        <w:t xml:space="preserve"> </w:t>
      </w:r>
      <w:r>
        <w:t>services</w:t>
      </w:r>
      <w:r>
        <w:rPr>
          <w:spacing w:val="-2"/>
        </w:rPr>
        <w:t xml:space="preserve"> </w:t>
      </w:r>
      <w:r>
        <w:t>de</w:t>
      </w:r>
      <w:r>
        <w:rPr>
          <w:spacing w:val="-2"/>
        </w:rPr>
        <w:t xml:space="preserve"> </w:t>
      </w:r>
      <w:r>
        <w:t>vente</w:t>
      </w:r>
      <w:r>
        <w:rPr>
          <w:spacing w:val="-2"/>
        </w:rPr>
        <w:t xml:space="preserve"> </w:t>
      </w:r>
      <w:r>
        <w:t>de</w:t>
      </w:r>
      <w:r>
        <w:rPr>
          <w:spacing w:val="-2"/>
        </w:rPr>
        <w:t xml:space="preserve"> </w:t>
      </w:r>
      <w:r>
        <w:t>produits</w:t>
      </w:r>
      <w:r>
        <w:rPr>
          <w:spacing w:val="-1"/>
        </w:rPr>
        <w:t xml:space="preserve"> </w:t>
      </w:r>
      <w:r>
        <w:t>sont similaires</w:t>
      </w:r>
      <w:r>
        <w:rPr>
          <w:spacing w:val="-2"/>
        </w:rPr>
        <w:t xml:space="preserve"> </w:t>
      </w:r>
      <w:r>
        <w:t>à</w:t>
      </w:r>
      <w:r>
        <w:rPr>
          <w:spacing w:val="-1"/>
        </w:rPr>
        <w:t xml:space="preserve"> </w:t>
      </w:r>
      <w:r>
        <w:t>un</w:t>
      </w:r>
      <w:r>
        <w:rPr>
          <w:spacing w:val="-4"/>
        </w:rPr>
        <w:t xml:space="preserve"> </w:t>
      </w:r>
      <w:r>
        <w:t>degré</w:t>
      </w:r>
      <w:r>
        <w:rPr>
          <w:spacing w:val="-1"/>
        </w:rPr>
        <w:t xml:space="preserve"> </w:t>
      </w:r>
      <w:r>
        <w:t>moyen</w:t>
      </w:r>
      <w:r>
        <w:rPr>
          <w:spacing w:val="-2"/>
        </w:rPr>
        <w:t xml:space="preserve"> </w:t>
      </w:r>
      <w:r>
        <w:t>à</w:t>
      </w:r>
      <w:r>
        <w:rPr>
          <w:spacing w:val="-2"/>
        </w:rPr>
        <w:t xml:space="preserve"> </w:t>
      </w:r>
      <w:r>
        <w:t>ces produits. De même, les</w:t>
      </w:r>
      <w:r>
        <w:rPr>
          <w:rFonts w:ascii="Arial" w:hAnsi="Arial"/>
          <w:i/>
        </w:rPr>
        <w:t xml:space="preserve">services de vente au détail </w:t>
      </w:r>
      <w:r>
        <w:t xml:space="preserve">en ligne de sacs à main contestés sont </w:t>
      </w:r>
      <w:r>
        <w:rPr>
          <w:u w:val="single"/>
        </w:rPr>
        <w:t>similaires</w:t>
      </w:r>
      <w:r>
        <w:t xml:space="preserve"> au cuir </w:t>
      </w:r>
      <w:r>
        <w:rPr>
          <w:rFonts w:ascii="Arial" w:hAnsi="Arial"/>
          <w:i/>
        </w:rPr>
        <w:t xml:space="preserve">et imitations du cuir de l’opposante, en particulier les sacs à main </w:t>
      </w:r>
      <w:r>
        <w:t>compris dans la classe 18 (de la marque antérieure no 1).</w:t>
      </w:r>
    </w:p>
    <w:p w14:paraId="231CCC46" w14:textId="77777777" w:rsidR="002B3448" w:rsidRDefault="002B3448">
      <w:pPr>
        <w:pStyle w:val="Corpsdetexte"/>
        <w:spacing w:before="1"/>
      </w:pPr>
    </w:p>
    <w:p w14:paraId="22D54E08" w14:textId="77777777" w:rsidR="002B3448" w:rsidRDefault="00000000">
      <w:pPr>
        <w:ind w:left="165" w:right="156"/>
        <w:jc w:val="both"/>
      </w:pPr>
      <w:r>
        <w:t xml:space="preserve">Inversement, services de vente en </w:t>
      </w:r>
      <w:r>
        <w:rPr>
          <w:rFonts w:ascii="Arial" w:hAnsi="Arial"/>
          <w:i/>
        </w:rPr>
        <w:t>gros concernant les instruments esthétiques pour les humains; services de vente au détail concernant les instruments esthétiques pour les humains; services en ligne de magasins de détail proposant des produits cosmétiques et de beauté; services de vente au détail en ligne de cosmétiques; les services de vente au détail de</w:t>
      </w:r>
      <w:r>
        <w:rPr>
          <w:rFonts w:ascii="Arial" w:hAnsi="Arial"/>
          <w:i/>
          <w:spacing w:val="-2"/>
        </w:rPr>
        <w:t xml:space="preserve"> </w:t>
      </w:r>
      <w:r>
        <w:rPr>
          <w:rFonts w:ascii="Arial" w:hAnsi="Arial"/>
          <w:i/>
        </w:rPr>
        <w:t>boîtes</w:t>
      </w:r>
      <w:r>
        <w:rPr>
          <w:rFonts w:ascii="Arial" w:hAnsi="Arial"/>
          <w:i/>
          <w:spacing w:val="-4"/>
        </w:rPr>
        <w:t xml:space="preserve"> </w:t>
      </w:r>
      <w:r>
        <w:rPr>
          <w:rFonts w:ascii="Arial" w:hAnsi="Arial"/>
          <w:i/>
        </w:rPr>
        <w:t>par</w:t>
      </w:r>
      <w:r>
        <w:rPr>
          <w:rFonts w:ascii="Arial" w:hAnsi="Arial"/>
          <w:i/>
          <w:spacing w:val="-1"/>
        </w:rPr>
        <w:t xml:space="preserve"> </w:t>
      </w:r>
      <w:r>
        <w:rPr>
          <w:rFonts w:ascii="Arial" w:hAnsi="Arial"/>
          <w:i/>
        </w:rPr>
        <w:t>abonnement</w:t>
      </w:r>
      <w:r>
        <w:rPr>
          <w:rFonts w:ascii="Arial" w:hAnsi="Arial"/>
          <w:i/>
          <w:spacing w:val="-1"/>
        </w:rPr>
        <w:t xml:space="preserve"> </w:t>
      </w:r>
      <w:r>
        <w:rPr>
          <w:rFonts w:ascii="Arial" w:hAnsi="Arial"/>
          <w:i/>
        </w:rPr>
        <w:t>contenant des</w:t>
      </w:r>
      <w:r>
        <w:rPr>
          <w:rFonts w:ascii="Arial" w:hAnsi="Arial"/>
          <w:i/>
          <w:spacing w:val="-4"/>
        </w:rPr>
        <w:t xml:space="preserve"> </w:t>
      </w:r>
      <w:r>
        <w:rPr>
          <w:rFonts w:ascii="Arial" w:hAnsi="Arial"/>
          <w:i/>
        </w:rPr>
        <w:t xml:space="preserve">cosmétiques </w:t>
      </w:r>
      <w:r>
        <w:t>et</w:t>
      </w:r>
      <w:r>
        <w:rPr>
          <w:spacing w:val="-3"/>
        </w:rPr>
        <w:t xml:space="preserve"> </w:t>
      </w:r>
      <w:r>
        <w:t>tous</w:t>
      </w:r>
      <w:r>
        <w:rPr>
          <w:spacing w:val="-1"/>
        </w:rPr>
        <w:t xml:space="preserve"> </w:t>
      </w:r>
      <w:r>
        <w:t>les</w:t>
      </w:r>
      <w:r>
        <w:rPr>
          <w:spacing w:val="-2"/>
        </w:rPr>
        <w:t xml:space="preserve"> </w:t>
      </w:r>
      <w:r>
        <w:t>produits</w:t>
      </w:r>
      <w:r>
        <w:rPr>
          <w:spacing w:val="-4"/>
        </w:rPr>
        <w:t xml:space="preserve"> </w:t>
      </w:r>
      <w:r>
        <w:t>de</w:t>
      </w:r>
      <w:r>
        <w:rPr>
          <w:spacing w:val="-2"/>
        </w:rPr>
        <w:t xml:space="preserve"> </w:t>
      </w:r>
      <w:r>
        <w:t>l’opposante</w:t>
      </w:r>
      <w:r>
        <w:rPr>
          <w:spacing w:val="-1"/>
        </w:rPr>
        <w:t xml:space="preserve"> </w:t>
      </w:r>
      <w:r>
        <w:rPr>
          <w:u w:val="single"/>
        </w:rPr>
        <w:t>ne</w:t>
      </w:r>
      <w:r>
        <w:t xml:space="preserve"> </w:t>
      </w:r>
      <w:r>
        <w:rPr>
          <w:u w:val="single"/>
        </w:rPr>
        <w:t>sont</w:t>
      </w:r>
      <w:r>
        <w:rPr>
          <w:spacing w:val="-1"/>
          <w:u w:val="single"/>
        </w:rPr>
        <w:t xml:space="preserve"> </w:t>
      </w:r>
      <w:r>
        <w:rPr>
          <w:u w:val="single"/>
        </w:rPr>
        <w:t>pas</w:t>
      </w:r>
      <w:r>
        <w:rPr>
          <w:spacing w:val="-2"/>
          <w:u w:val="single"/>
        </w:rPr>
        <w:t xml:space="preserve"> </w:t>
      </w:r>
      <w:r>
        <w:rPr>
          <w:u w:val="single"/>
        </w:rPr>
        <w:t>similaires</w:t>
      </w:r>
      <w:r>
        <w:t>.</w:t>
      </w:r>
      <w:r>
        <w:rPr>
          <w:spacing w:val="-1"/>
        </w:rPr>
        <w:t xml:space="preserve"> </w:t>
      </w:r>
      <w:r>
        <w:t>Outre</w:t>
      </w:r>
      <w:r>
        <w:rPr>
          <w:spacing w:val="-2"/>
        </w:rPr>
        <w:t xml:space="preserve"> </w:t>
      </w:r>
      <w:r>
        <w:t>le</w:t>
      </w:r>
      <w:r>
        <w:rPr>
          <w:spacing w:val="-3"/>
        </w:rPr>
        <w:t xml:space="preserve"> </w:t>
      </w:r>
      <w:r>
        <w:t>fait</w:t>
      </w:r>
      <w:r>
        <w:rPr>
          <w:spacing w:val="-3"/>
        </w:rPr>
        <w:t xml:space="preserve"> </w:t>
      </w:r>
      <w:r>
        <w:t>qu’ils</w:t>
      </w:r>
      <w:r>
        <w:rPr>
          <w:spacing w:val="-2"/>
        </w:rPr>
        <w:t xml:space="preserve"> </w:t>
      </w:r>
      <w:r>
        <w:t>sont</w:t>
      </w:r>
      <w:r>
        <w:rPr>
          <w:spacing w:val="-1"/>
        </w:rPr>
        <w:t xml:space="preserve"> </w:t>
      </w:r>
      <w:r>
        <w:t>de</w:t>
      </w:r>
      <w:r>
        <w:rPr>
          <w:spacing w:val="-2"/>
        </w:rPr>
        <w:t xml:space="preserve"> </w:t>
      </w:r>
      <w:r>
        <w:t>nature différente,</w:t>
      </w:r>
      <w:r>
        <w:rPr>
          <w:spacing w:val="-1"/>
        </w:rPr>
        <w:t xml:space="preserve"> </w:t>
      </w:r>
      <w:r>
        <w:t>les</w:t>
      </w:r>
      <w:r>
        <w:rPr>
          <w:spacing w:val="-2"/>
        </w:rPr>
        <w:t xml:space="preserve"> </w:t>
      </w:r>
      <w:r>
        <w:t>services</w:t>
      </w:r>
      <w:r>
        <w:rPr>
          <w:spacing w:val="-3"/>
        </w:rPr>
        <w:t xml:space="preserve"> </w:t>
      </w:r>
      <w:r>
        <w:t>étant</w:t>
      </w:r>
      <w:r>
        <w:rPr>
          <w:spacing w:val="-1"/>
        </w:rPr>
        <w:t xml:space="preserve"> </w:t>
      </w:r>
      <w:r>
        <w:t xml:space="preserve">intangibles alors que les produits sont tangibles, ils répondent à des besoins différents. </w:t>
      </w:r>
      <w:r>
        <w:rPr>
          <w:rFonts w:ascii="Arial" w:hAnsi="Arial"/>
          <w:i/>
        </w:rPr>
        <w:t xml:space="preserve">Les services </w:t>
      </w:r>
      <w:r>
        <w:t xml:space="preserve">de vente au détail consistent à rassembler et à mettre en vente un large éventail de produits différents afin de permettre aux consommateurs de satisfaire commodément différents besoins d’achat en un seul endroit. Telle n’est pas la destination des produits. En outre, les produits et services en cause ont des utilisations différentes et ils ne sont ni concurrents ni </w:t>
      </w:r>
      <w:r>
        <w:rPr>
          <w:spacing w:val="-2"/>
        </w:rPr>
        <w:t>complémentaires.</w:t>
      </w:r>
    </w:p>
    <w:p w14:paraId="6C1F5003" w14:textId="77777777" w:rsidR="002B3448" w:rsidRDefault="00000000">
      <w:pPr>
        <w:pStyle w:val="Corpsdetexte"/>
        <w:spacing w:before="252"/>
        <w:ind w:left="165" w:right="157"/>
        <w:jc w:val="both"/>
      </w:pPr>
      <w:r>
        <w:t>Il ne peut être conclu à la similitude entre des services de vente au détail de produits spécifiques désignés par une marque et d’autres produits désignés par une autre marque que lorsque les produits concernés par les services de vente au détail et les autres produits désignés par l’autre marque sont proposés dans les mêmes points de vente, appartiennent au même secteur de marché et présentent de l’intérêt pour les mêmes consommateurs. Lesmêmes principes s’appliquent aux services fournis en rapport avec d’autres types de services qui consistent exclusivement en des activités liées à la vente effective de produits, tels que les services de vente en gros, les achats sur l’internet, les services de catalogue ou de</w:t>
      </w:r>
      <w:r>
        <w:rPr>
          <w:spacing w:val="-2"/>
        </w:rPr>
        <w:t xml:space="preserve"> </w:t>
      </w:r>
      <w:r>
        <w:t>vente</w:t>
      </w:r>
      <w:r>
        <w:rPr>
          <w:spacing w:val="-2"/>
        </w:rPr>
        <w:t xml:space="preserve"> </w:t>
      </w:r>
      <w:r>
        <w:t>par</w:t>
      </w:r>
      <w:r>
        <w:rPr>
          <w:spacing w:val="-1"/>
        </w:rPr>
        <w:t xml:space="preserve"> </w:t>
      </w:r>
      <w:r>
        <w:t>correspondance</w:t>
      </w:r>
      <w:r>
        <w:rPr>
          <w:spacing w:val="-2"/>
        </w:rPr>
        <w:t xml:space="preserve"> </w:t>
      </w:r>
      <w:r>
        <w:t>compris</w:t>
      </w:r>
      <w:r>
        <w:rPr>
          <w:spacing w:val="-1"/>
        </w:rPr>
        <w:t xml:space="preserve"> </w:t>
      </w:r>
      <w:r>
        <w:t>dans</w:t>
      </w:r>
      <w:r>
        <w:rPr>
          <w:spacing w:val="-2"/>
        </w:rPr>
        <w:t xml:space="preserve"> </w:t>
      </w:r>
      <w:r>
        <w:t>la</w:t>
      </w:r>
      <w:r>
        <w:rPr>
          <w:spacing w:val="-2"/>
        </w:rPr>
        <w:t xml:space="preserve"> </w:t>
      </w:r>
      <w:r>
        <w:t>classe</w:t>
      </w:r>
      <w:r>
        <w:rPr>
          <w:spacing w:val="-2"/>
        </w:rPr>
        <w:t xml:space="preserve"> </w:t>
      </w:r>
      <w:r>
        <w:t>35. En</w:t>
      </w:r>
      <w:r>
        <w:rPr>
          <w:spacing w:val="-2"/>
        </w:rPr>
        <w:t xml:space="preserve"> </w:t>
      </w:r>
      <w:r>
        <w:t>l’espèce,</w:t>
      </w:r>
      <w:r>
        <w:rPr>
          <w:spacing w:val="-3"/>
        </w:rPr>
        <w:t xml:space="preserve"> </w:t>
      </w:r>
      <w:r>
        <w:t>ces</w:t>
      </w:r>
      <w:r>
        <w:rPr>
          <w:spacing w:val="-4"/>
        </w:rPr>
        <w:t xml:space="preserve"> </w:t>
      </w:r>
      <w:r>
        <w:t>conditions</w:t>
      </w:r>
      <w:r>
        <w:rPr>
          <w:spacing w:val="-1"/>
        </w:rPr>
        <w:t xml:space="preserve"> </w:t>
      </w:r>
      <w:r>
        <w:t>ne</w:t>
      </w:r>
      <w:r>
        <w:rPr>
          <w:spacing w:val="-2"/>
        </w:rPr>
        <w:t xml:space="preserve"> </w:t>
      </w:r>
      <w:r>
        <w:t xml:space="preserve">sont pas remplies, étant donné que les produits vendus au détail sont différents des autres produits, étant donné qu’ils ont une nature, une destination et une utilisation différentes. Enoutre, ils répondent à des besoins différents du public auquel ils sont proposés par l’intermédiaire de canaux de distribution différents et ne sont ni complémentaires ni </w:t>
      </w:r>
      <w:r>
        <w:rPr>
          <w:spacing w:val="-2"/>
        </w:rPr>
        <w:t>concurrents.</w:t>
      </w:r>
    </w:p>
    <w:p w14:paraId="084D6B65" w14:textId="77777777" w:rsidR="002B3448" w:rsidRDefault="002B3448">
      <w:pPr>
        <w:pStyle w:val="Corpsdetexte"/>
        <w:spacing w:before="1"/>
      </w:pPr>
    </w:p>
    <w:p w14:paraId="1D1DAF2D" w14:textId="77777777" w:rsidR="002B3448" w:rsidRDefault="00000000">
      <w:pPr>
        <w:ind w:left="165" w:right="159"/>
        <w:jc w:val="both"/>
      </w:pPr>
      <w:r>
        <w:t xml:space="preserve">Enfin, le traitement </w:t>
      </w:r>
      <w:r>
        <w:rPr>
          <w:rFonts w:ascii="Arial" w:hAnsi="Arial"/>
          <w:i/>
        </w:rPr>
        <w:t xml:space="preserve">administratif contesté des bons de commande; services de démonstrations de produits et services d’affichage de produits; services d’importation et d’exportation; services de programmes de fidélisation, de stimulation et de bonus; la promotion des ventes est </w:t>
      </w:r>
      <w:r>
        <w:rPr>
          <w:u w:val="single"/>
        </w:rPr>
        <w:t>différente</w:t>
      </w:r>
      <w:r>
        <w:t xml:space="preserve"> </w:t>
      </w:r>
      <w:r>
        <w:rPr>
          <w:rFonts w:ascii="Arial" w:hAnsi="Arial"/>
          <w:i/>
        </w:rPr>
        <w:t xml:space="preserve">de tous les produits de l’opposante désignés par toutes les marques antérieures étant donné qu’ils </w:t>
      </w:r>
      <w:r>
        <w:t>sont de nature différente, étant donné que les produits sont tangibles et que les services sont intangibles, ont une destination et une utilisation</w:t>
      </w:r>
      <w:r>
        <w:rPr>
          <w:spacing w:val="27"/>
        </w:rPr>
        <w:t xml:space="preserve"> </w:t>
      </w:r>
      <w:r>
        <w:t>différentes.</w:t>
      </w:r>
      <w:r>
        <w:rPr>
          <w:spacing w:val="26"/>
        </w:rPr>
        <w:t xml:space="preserve"> </w:t>
      </w:r>
      <w:r>
        <w:t>En</w:t>
      </w:r>
      <w:r>
        <w:rPr>
          <w:spacing w:val="24"/>
        </w:rPr>
        <w:t xml:space="preserve"> </w:t>
      </w:r>
      <w:r>
        <w:t>outre,</w:t>
      </w:r>
      <w:r>
        <w:rPr>
          <w:spacing w:val="26"/>
        </w:rPr>
        <w:t xml:space="preserve"> </w:t>
      </w:r>
      <w:r>
        <w:t>ils</w:t>
      </w:r>
      <w:r>
        <w:rPr>
          <w:spacing w:val="25"/>
        </w:rPr>
        <w:t xml:space="preserve"> </w:t>
      </w:r>
      <w:r>
        <w:t>répondent</w:t>
      </w:r>
      <w:r>
        <w:rPr>
          <w:spacing w:val="26"/>
        </w:rPr>
        <w:t xml:space="preserve"> </w:t>
      </w:r>
      <w:r>
        <w:t>à</w:t>
      </w:r>
      <w:r>
        <w:rPr>
          <w:spacing w:val="24"/>
        </w:rPr>
        <w:t xml:space="preserve"> </w:t>
      </w:r>
      <w:r>
        <w:t>des</w:t>
      </w:r>
      <w:r>
        <w:rPr>
          <w:spacing w:val="27"/>
        </w:rPr>
        <w:t xml:space="preserve"> </w:t>
      </w:r>
      <w:r>
        <w:t>besoins</w:t>
      </w:r>
      <w:r>
        <w:rPr>
          <w:spacing w:val="24"/>
        </w:rPr>
        <w:t xml:space="preserve"> </w:t>
      </w:r>
      <w:r>
        <w:t>différents</w:t>
      </w:r>
      <w:r>
        <w:rPr>
          <w:spacing w:val="27"/>
        </w:rPr>
        <w:t xml:space="preserve"> </w:t>
      </w:r>
      <w:r>
        <w:t>du</w:t>
      </w:r>
      <w:r>
        <w:rPr>
          <w:spacing w:val="24"/>
        </w:rPr>
        <w:t xml:space="preserve"> </w:t>
      </w:r>
      <w:r>
        <w:t>public</w:t>
      </w:r>
      <w:r>
        <w:rPr>
          <w:spacing w:val="27"/>
        </w:rPr>
        <w:t xml:space="preserve"> </w:t>
      </w:r>
      <w:r>
        <w:t>auquel</w:t>
      </w:r>
      <w:r>
        <w:rPr>
          <w:spacing w:val="26"/>
        </w:rPr>
        <w:t xml:space="preserve"> </w:t>
      </w:r>
      <w:r>
        <w:t>ils</w:t>
      </w:r>
    </w:p>
    <w:p w14:paraId="16D60EA4" w14:textId="77777777" w:rsidR="002B3448" w:rsidRDefault="002B3448">
      <w:pPr>
        <w:jc w:val="both"/>
        <w:sectPr w:rsidR="002B3448">
          <w:pgSz w:w="11910" w:h="16840"/>
          <w:pgMar w:top="1000" w:right="1275" w:bottom="280" w:left="1275" w:header="727" w:footer="0" w:gutter="0"/>
          <w:cols w:space="720"/>
        </w:sectPr>
      </w:pPr>
    </w:p>
    <w:p w14:paraId="2CFC7362" w14:textId="77777777" w:rsidR="002B3448" w:rsidRDefault="00000000">
      <w:pPr>
        <w:pStyle w:val="Corpsdetexte"/>
        <w:spacing w:before="181"/>
      </w:pPr>
      <w:r>
        <w:rPr>
          <w:noProof/>
        </w:rPr>
        <w:lastRenderedPageBreak/>
        <mc:AlternateContent>
          <mc:Choice Requires="wps">
            <w:drawing>
              <wp:anchor distT="0" distB="0" distL="0" distR="0" simplePos="0" relativeHeight="15732736" behindDoc="0" locked="0" layoutInCell="1" allowOverlap="1" wp14:anchorId="63E35FB7" wp14:editId="24DBEC50">
                <wp:simplePos x="0" y="0"/>
                <wp:positionH relativeFrom="page">
                  <wp:posOffset>270575</wp:posOffset>
                </wp:positionH>
                <wp:positionV relativeFrom="page">
                  <wp:posOffset>1114363</wp:posOffset>
                </wp:positionV>
                <wp:extent cx="146050" cy="92100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9C9D2A3"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736" type="#_x0000_t202" id="docshape1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6BE34D37" w14:textId="77777777" w:rsidR="002B3448" w:rsidRDefault="00000000">
      <w:pPr>
        <w:pStyle w:val="Corpsdetexte"/>
        <w:ind w:left="165" w:right="159"/>
        <w:jc w:val="both"/>
      </w:pPr>
      <w:r>
        <w:t>sont proposés par l’intermédiaire de canaux de distribution différents et ne sont ni complémentaires ni concurrents.</w:t>
      </w:r>
    </w:p>
    <w:p w14:paraId="0A16364A" w14:textId="77777777" w:rsidR="002B3448" w:rsidRDefault="002B3448">
      <w:pPr>
        <w:pStyle w:val="Corpsdetexte"/>
      </w:pPr>
    </w:p>
    <w:p w14:paraId="112D5960" w14:textId="77777777" w:rsidR="002B3448" w:rsidRDefault="002B3448">
      <w:pPr>
        <w:pStyle w:val="Corpsdetexte"/>
        <w:spacing w:before="1"/>
      </w:pPr>
    </w:p>
    <w:p w14:paraId="13CA7CF6" w14:textId="77777777" w:rsidR="002B3448" w:rsidRDefault="00000000">
      <w:pPr>
        <w:pStyle w:val="Titre1"/>
        <w:numPr>
          <w:ilvl w:val="0"/>
          <w:numId w:val="1"/>
        </w:numPr>
        <w:tabs>
          <w:tab w:val="left" w:pos="435"/>
        </w:tabs>
        <w:ind w:left="435" w:hanging="270"/>
      </w:pPr>
      <w:r>
        <w:t>Public</w:t>
      </w:r>
      <w:r>
        <w:rPr>
          <w:spacing w:val="-6"/>
        </w:rPr>
        <w:t xml:space="preserve"> </w:t>
      </w:r>
      <w:r>
        <w:t>pertinent</w:t>
      </w:r>
      <w:r>
        <w:rPr>
          <w:spacing w:val="-5"/>
        </w:rPr>
        <w:t xml:space="preserve"> </w:t>
      </w:r>
      <w:r>
        <w:t>—</w:t>
      </w:r>
      <w:r>
        <w:rPr>
          <w:spacing w:val="-6"/>
        </w:rPr>
        <w:t xml:space="preserve"> </w:t>
      </w:r>
      <w:r>
        <w:t>niveau</w:t>
      </w:r>
      <w:r>
        <w:rPr>
          <w:spacing w:val="-5"/>
        </w:rPr>
        <w:t xml:space="preserve"> </w:t>
      </w:r>
      <w:r>
        <w:rPr>
          <w:spacing w:val="-2"/>
        </w:rPr>
        <w:t>d’attention</w:t>
      </w:r>
    </w:p>
    <w:p w14:paraId="5A28AEF9" w14:textId="77777777" w:rsidR="002B3448" w:rsidRDefault="00000000">
      <w:pPr>
        <w:pStyle w:val="Corpsdetexte"/>
        <w:spacing w:before="251"/>
        <w:ind w:left="165" w:right="161"/>
        <w:jc w:val="both"/>
      </w:pPr>
      <w:r>
        <w:t>Le</w:t>
      </w:r>
      <w:r>
        <w:rPr>
          <w:spacing w:val="-2"/>
        </w:rPr>
        <w:t xml:space="preserve"> </w:t>
      </w:r>
      <w:r>
        <w:t>consommateur</w:t>
      </w:r>
      <w:r>
        <w:rPr>
          <w:spacing w:val="-1"/>
        </w:rPr>
        <w:t xml:space="preserve"> </w:t>
      </w:r>
      <w:r>
        <w:t>moyen</w:t>
      </w:r>
      <w:r>
        <w:rPr>
          <w:spacing w:val="-2"/>
        </w:rPr>
        <w:t xml:space="preserve"> </w:t>
      </w:r>
      <w:r>
        <w:t>de</w:t>
      </w:r>
      <w:r>
        <w:rPr>
          <w:spacing w:val="-2"/>
        </w:rPr>
        <w:t xml:space="preserve"> </w:t>
      </w:r>
      <w:r>
        <w:t>la</w:t>
      </w:r>
      <w:r>
        <w:rPr>
          <w:spacing w:val="-2"/>
        </w:rPr>
        <w:t xml:space="preserve"> </w:t>
      </w:r>
      <w:r>
        <w:t>catégorie</w:t>
      </w:r>
      <w:r>
        <w:rPr>
          <w:spacing w:val="-2"/>
        </w:rPr>
        <w:t xml:space="preserve"> </w:t>
      </w:r>
      <w:r>
        <w:t>de</w:t>
      </w:r>
      <w:r>
        <w:rPr>
          <w:spacing w:val="-2"/>
        </w:rPr>
        <w:t xml:space="preserve"> </w:t>
      </w:r>
      <w:r>
        <w:t>produits</w:t>
      </w:r>
      <w:r>
        <w:rPr>
          <w:spacing w:val="-1"/>
        </w:rPr>
        <w:t xml:space="preserve"> </w:t>
      </w:r>
      <w:r>
        <w:t>concernée</w:t>
      </w:r>
      <w:r>
        <w:rPr>
          <w:spacing w:val="-2"/>
        </w:rPr>
        <w:t xml:space="preserve"> </w:t>
      </w:r>
      <w:r>
        <w:t>est censé</w:t>
      </w:r>
      <w:r>
        <w:rPr>
          <w:spacing w:val="-4"/>
        </w:rPr>
        <w:t xml:space="preserve"> </w:t>
      </w:r>
      <w:r>
        <w:t>être</w:t>
      </w:r>
      <w:r>
        <w:rPr>
          <w:spacing w:val="-2"/>
        </w:rPr>
        <w:t xml:space="preserve"> </w:t>
      </w:r>
      <w:r>
        <w:t>normalement informé et raisonnablement attentif et avisé. Il convient également de prendre en considération le fait que le niveau d’attention du consommateur moyen est susceptible de varier en fonction de la catégorie de produits ou de services en cause.</w:t>
      </w:r>
    </w:p>
    <w:p w14:paraId="65CD7CD7" w14:textId="77777777" w:rsidR="002B3448" w:rsidRDefault="002B3448">
      <w:pPr>
        <w:pStyle w:val="Corpsdetexte"/>
      </w:pPr>
    </w:p>
    <w:p w14:paraId="173B4403" w14:textId="77777777" w:rsidR="002B3448" w:rsidRDefault="00000000">
      <w:pPr>
        <w:pStyle w:val="Corpsdetexte"/>
        <w:ind w:left="165" w:right="160"/>
        <w:jc w:val="both"/>
      </w:pPr>
      <w:r>
        <w:t>En l’espèce, les produits et services jugés identiques et similaires s’adressent au grand public et à des clients professionnels possédant une expertise ou des connaissances professionnelles spécifiques.</w:t>
      </w:r>
    </w:p>
    <w:p w14:paraId="57ACDCE3" w14:textId="77777777" w:rsidR="002B3448" w:rsidRDefault="002B3448">
      <w:pPr>
        <w:pStyle w:val="Corpsdetexte"/>
        <w:spacing w:before="2"/>
      </w:pPr>
    </w:p>
    <w:p w14:paraId="1DA2DA57" w14:textId="77777777" w:rsidR="002B3448" w:rsidRDefault="00000000">
      <w:pPr>
        <w:pStyle w:val="Corpsdetexte"/>
        <w:ind w:left="165"/>
        <w:jc w:val="both"/>
      </w:pPr>
      <w:r>
        <w:t>Le</w:t>
      </w:r>
      <w:r>
        <w:rPr>
          <w:spacing w:val="-5"/>
        </w:rPr>
        <w:t xml:space="preserve"> </w:t>
      </w:r>
      <w:r>
        <w:t>niveau</w:t>
      </w:r>
      <w:r>
        <w:rPr>
          <w:spacing w:val="-5"/>
        </w:rPr>
        <w:t xml:space="preserve"> </w:t>
      </w:r>
      <w:r>
        <w:t>d’attention</w:t>
      </w:r>
      <w:r>
        <w:rPr>
          <w:spacing w:val="-4"/>
        </w:rPr>
        <w:t xml:space="preserve"> </w:t>
      </w:r>
      <w:r>
        <w:t>est</w:t>
      </w:r>
      <w:r>
        <w:rPr>
          <w:spacing w:val="-7"/>
        </w:rPr>
        <w:t xml:space="preserve"> </w:t>
      </w:r>
      <w:r>
        <w:rPr>
          <w:spacing w:val="-2"/>
        </w:rPr>
        <w:t>moyen.</w:t>
      </w:r>
    </w:p>
    <w:p w14:paraId="0B9F0856" w14:textId="77777777" w:rsidR="002B3448" w:rsidRDefault="002B3448">
      <w:pPr>
        <w:pStyle w:val="Corpsdetexte"/>
        <w:spacing w:before="252"/>
      </w:pPr>
    </w:p>
    <w:p w14:paraId="6F0F7EB7" w14:textId="77777777" w:rsidR="002B3448" w:rsidRDefault="00000000">
      <w:pPr>
        <w:pStyle w:val="Titre1"/>
        <w:numPr>
          <w:ilvl w:val="0"/>
          <w:numId w:val="1"/>
        </w:numPr>
        <w:tabs>
          <w:tab w:val="left" w:pos="423"/>
        </w:tabs>
        <w:ind w:left="423" w:hanging="258"/>
      </w:pPr>
      <w:r>
        <w:t>Les</w:t>
      </w:r>
      <w:r>
        <w:rPr>
          <w:spacing w:val="-6"/>
        </w:rPr>
        <w:t xml:space="preserve"> </w:t>
      </w:r>
      <w:r>
        <w:rPr>
          <w:spacing w:val="-2"/>
        </w:rPr>
        <w:t>signes</w:t>
      </w:r>
    </w:p>
    <w:p w14:paraId="407D2A84" w14:textId="77777777" w:rsidR="002B3448" w:rsidRDefault="002B3448">
      <w:pPr>
        <w:pStyle w:val="Corpsdetexte"/>
        <w:spacing w:before="24"/>
        <w:rPr>
          <w:rFonts w:ascii="Arial"/>
          <w:b/>
          <w:sz w:val="20"/>
        </w:rPr>
      </w:pPr>
    </w:p>
    <w:tbl>
      <w:tblPr>
        <w:tblStyle w:val="TableNormal"/>
        <w:tblW w:w="0" w:type="auto"/>
        <w:tblInd w:w="271" w:type="dxa"/>
        <w:tblLayout w:type="fixed"/>
        <w:tblLook w:val="01E0" w:firstRow="1" w:lastRow="1" w:firstColumn="1" w:lastColumn="1" w:noHBand="0" w:noVBand="0"/>
      </w:tblPr>
      <w:tblGrid>
        <w:gridCol w:w="4864"/>
        <w:gridCol w:w="4122"/>
      </w:tblGrid>
      <w:tr w:rsidR="002B3448" w14:paraId="4D4F48FB" w14:textId="77777777">
        <w:trPr>
          <w:trHeight w:val="2987"/>
        </w:trPr>
        <w:tc>
          <w:tcPr>
            <w:tcW w:w="4864" w:type="dxa"/>
            <w:tcBorders>
              <w:bottom w:val="dotted" w:sz="8" w:space="0" w:color="000000"/>
            </w:tcBorders>
          </w:tcPr>
          <w:p w14:paraId="1CD4E37F" w14:textId="77777777" w:rsidR="002B3448" w:rsidRDefault="00000000">
            <w:pPr>
              <w:pStyle w:val="TableParagraph"/>
              <w:spacing w:before="55" w:line="480" w:lineRule="auto"/>
              <w:ind w:left="660" w:right="593"/>
              <w:jc w:val="center"/>
              <w:rPr>
                <w:rFonts w:ascii="Arial MT" w:hAnsi="Arial MT"/>
              </w:rPr>
            </w:pPr>
            <w:r>
              <w:rPr>
                <w:rFonts w:ascii="Arial MT" w:hAnsi="Arial MT"/>
              </w:rPr>
              <w:t>(marques</w:t>
            </w:r>
            <w:r>
              <w:rPr>
                <w:rFonts w:ascii="Arial MT" w:hAnsi="Arial MT"/>
                <w:spacing w:val="-9"/>
              </w:rPr>
              <w:t xml:space="preserve"> </w:t>
            </w:r>
            <w:r>
              <w:rPr>
                <w:rFonts w:ascii="Arial MT" w:hAnsi="Arial MT"/>
              </w:rPr>
              <w:t>antérieures</w:t>
            </w:r>
            <w:r>
              <w:rPr>
                <w:rFonts w:ascii="Arial MT" w:hAnsi="Arial MT"/>
                <w:spacing w:val="-10"/>
              </w:rPr>
              <w:t xml:space="preserve"> </w:t>
            </w:r>
            <w:r>
              <w:rPr>
                <w:rFonts w:ascii="Arial MT" w:hAnsi="Arial MT"/>
              </w:rPr>
              <w:t>1</w:t>
            </w:r>
            <w:r>
              <w:rPr>
                <w:rFonts w:ascii="Arial MT" w:hAnsi="Arial MT"/>
                <w:spacing w:val="-13"/>
              </w:rPr>
              <w:t xml:space="preserve"> </w:t>
            </w:r>
            <w:r>
              <w:rPr>
                <w:rFonts w:ascii="Arial MT" w:hAnsi="Arial MT"/>
              </w:rPr>
              <w:t>et</w:t>
            </w:r>
            <w:r>
              <w:rPr>
                <w:rFonts w:ascii="Arial MT" w:hAnsi="Arial MT"/>
                <w:spacing w:val="-9"/>
              </w:rPr>
              <w:t xml:space="preserve"> </w:t>
            </w:r>
            <w:r>
              <w:rPr>
                <w:rFonts w:ascii="Arial MT" w:hAnsi="Arial MT"/>
              </w:rPr>
              <w:t xml:space="preserve">3) </w:t>
            </w:r>
            <w:r>
              <w:rPr>
                <w:rFonts w:ascii="Arial MT" w:hAnsi="Arial MT"/>
                <w:spacing w:val="-2"/>
              </w:rPr>
              <w:t>BERLUTI</w:t>
            </w:r>
          </w:p>
          <w:p w14:paraId="2E2834F0" w14:textId="77777777" w:rsidR="002B3448" w:rsidRDefault="00000000">
            <w:pPr>
              <w:pStyle w:val="TableParagraph"/>
              <w:spacing w:before="1"/>
              <w:ind w:left="660" w:right="595"/>
              <w:jc w:val="center"/>
              <w:rPr>
                <w:rFonts w:ascii="Arial MT" w:hAnsi="Arial MT"/>
              </w:rPr>
            </w:pPr>
            <w:r>
              <w:rPr>
                <w:rFonts w:ascii="Arial MT" w:hAnsi="Arial MT"/>
              </w:rPr>
              <w:t>(marque</w:t>
            </w:r>
            <w:r>
              <w:rPr>
                <w:rFonts w:ascii="Arial MT" w:hAnsi="Arial MT"/>
                <w:spacing w:val="-6"/>
              </w:rPr>
              <w:t xml:space="preserve"> </w:t>
            </w:r>
            <w:r>
              <w:rPr>
                <w:rFonts w:ascii="Arial MT" w:hAnsi="Arial MT"/>
              </w:rPr>
              <w:t>antérieure</w:t>
            </w:r>
            <w:r>
              <w:rPr>
                <w:rFonts w:ascii="Arial MT" w:hAnsi="Arial MT"/>
                <w:spacing w:val="-8"/>
              </w:rPr>
              <w:t xml:space="preserve"> </w:t>
            </w:r>
            <w:r>
              <w:rPr>
                <w:rFonts w:ascii="Arial MT" w:hAnsi="Arial MT"/>
              </w:rPr>
              <w:t>no</w:t>
            </w:r>
            <w:r>
              <w:rPr>
                <w:rFonts w:ascii="Arial MT" w:hAnsi="Arial MT"/>
                <w:spacing w:val="-5"/>
              </w:rPr>
              <w:t xml:space="preserve"> 2)</w:t>
            </w:r>
          </w:p>
          <w:p w14:paraId="57839EB2" w14:textId="77777777" w:rsidR="002B3448" w:rsidRDefault="002B3448">
            <w:pPr>
              <w:pStyle w:val="TableParagraph"/>
              <w:spacing w:before="21"/>
              <w:rPr>
                <w:b/>
                <w:sz w:val="20"/>
              </w:rPr>
            </w:pPr>
          </w:p>
          <w:p w14:paraId="6F6C05C0" w14:textId="77777777" w:rsidR="002B3448" w:rsidRDefault="00000000">
            <w:pPr>
              <w:pStyle w:val="TableParagraph"/>
              <w:ind w:left="1595"/>
              <w:rPr>
                <w:sz w:val="20"/>
              </w:rPr>
            </w:pPr>
            <w:r>
              <w:rPr>
                <w:noProof/>
                <w:sz w:val="20"/>
              </w:rPr>
              <w:drawing>
                <wp:inline distT="0" distB="0" distL="0" distR="0" wp14:anchorId="24058411" wp14:editId="02A85333">
                  <wp:extent cx="1118420" cy="86867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18420" cy="868679"/>
                          </a:xfrm>
                          <a:prstGeom prst="rect">
                            <a:avLst/>
                          </a:prstGeom>
                        </pic:spPr>
                      </pic:pic>
                    </a:graphicData>
                  </a:graphic>
                </wp:inline>
              </w:drawing>
            </w:r>
          </w:p>
        </w:tc>
        <w:tc>
          <w:tcPr>
            <w:tcW w:w="4122" w:type="dxa"/>
            <w:tcBorders>
              <w:bottom w:val="dotted" w:sz="8" w:space="0" w:color="000000"/>
            </w:tcBorders>
          </w:tcPr>
          <w:p w14:paraId="1E2596F4" w14:textId="77777777" w:rsidR="002B3448" w:rsidRDefault="002B3448">
            <w:pPr>
              <w:pStyle w:val="TableParagraph"/>
              <w:rPr>
                <w:b/>
                <w:sz w:val="20"/>
              </w:rPr>
            </w:pPr>
          </w:p>
          <w:p w14:paraId="231CE064" w14:textId="77777777" w:rsidR="002B3448" w:rsidRDefault="002B3448">
            <w:pPr>
              <w:pStyle w:val="TableParagraph"/>
              <w:rPr>
                <w:b/>
                <w:sz w:val="20"/>
              </w:rPr>
            </w:pPr>
          </w:p>
          <w:p w14:paraId="25D91653" w14:textId="77777777" w:rsidR="002B3448" w:rsidRDefault="002B3448">
            <w:pPr>
              <w:pStyle w:val="TableParagraph"/>
              <w:rPr>
                <w:b/>
                <w:sz w:val="20"/>
              </w:rPr>
            </w:pPr>
          </w:p>
          <w:p w14:paraId="143A3842" w14:textId="77777777" w:rsidR="002B3448" w:rsidRDefault="002B3448">
            <w:pPr>
              <w:pStyle w:val="TableParagraph"/>
              <w:rPr>
                <w:b/>
                <w:sz w:val="20"/>
              </w:rPr>
            </w:pPr>
          </w:p>
          <w:p w14:paraId="188D081B" w14:textId="77777777" w:rsidR="002B3448" w:rsidRDefault="002B3448">
            <w:pPr>
              <w:pStyle w:val="TableParagraph"/>
              <w:spacing w:before="22"/>
              <w:rPr>
                <w:b/>
                <w:sz w:val="20"/>
              </w:rPr>
            </w:pPr>
          </w:p>
          <w:p w14:paraId="757CBC43" w14:textId="77777777" w:rsidR="002B3448" w:rsidRDefault="00000000">
            <w:pPr>
              <w:pStyle w:val="TableParagraph"/>
              <w:ind w:left="1011"/>
              <w:rPr>
                <w:sz w:val="20"/>
              </w:rPr>
            </w:pPr>
            <w:r>
              <w:rPr>
                <w:noProof/>
                <w:sz w:val="20"/>
              </w:rPr>
              <w:drawing>
                <wp:inline distT="0" distB="0" distL="0" distR="0" wp14:anchorId="0E8C88E6" wp14:editId="406C89F7">
                  <wp:extent cx="1355312" cy="40319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355312" cy="403193"/>
                          </a:xfrm>
                          <a:prstGeom prst="rect">
                            <a:avLst/>
                          </a:prstGeom>
                        </pic:spPr>
                      </pic:pic>
                    </a:graphicData>
                  </a:graphic>
                </wp:inline>
              </w:drawing>
            </w:r>
          </w:p>
        </w:tc>
      </w:tr>
      <w:tr w:rsidR="002B3448" w14:paraId="0A5B3C04" w14:textId="77777777">
        <w:trPr>
          <w:trHeight w:val="573"/>
        </w:trPr>
        <w:tc>
          <w:tcPr>
            <w:tcW w:w="4864" w:type="dxa"/>
            <w:tcBorders>
              <w:top w:val="dotted" w:sz="8" w:space="0" w:color="000000"/>
            </w:tcBorders>
          </w:tcPr>
          <w:p w14:paraId="75AF9BB9" w14:textId="77777777" w:rsidR="002B3448" w:rsidRDefault="002B3448">
            <w:pPr>
              <w:pStyle w:val="TableParagraph"/>
              <w:spacing w:before="13"/>
              <w:rPr>
                <w:b/>
              </w:rPr>
            </w:pPr>
          </w:p>
          <w:p w14:paraId="6CF6008A" w14:textId="77777777" w:rsidR="002B3448" w:rsidRDefault="00000000">
            <w:pPr>
              <w:pStyle w:val="TableParagraph"/>
              <w:ind w:left="1456"/>
              <w:rPr>
                <w:rFonts w:ascii="Arial MT" w:hAnsi="Arial MT"/>
              </w:rPr>
            </w:pPr>
            <w:r>
              <w:rPr>
                <w:rFonts w:ascii="Arial MT" w:hAnsi="Arial MT"/>
              </w:rPr>
              <w:t>Marques</w:t>
            </w:r>
            <w:r>
              <w:rPr>
                <w:rFonts w:ascii="Arial MT" w:hAnsi="Arial MT"/>
                <w:spacing w:val="-5"/>
              </w:rPr>
              <w:t xml:space="preserve"> </w:t>
            </w:r>
            <w:r>
              <w:rPr>
                <w:rFonts w:ascii="Arial MT" w:hAnsi="Arial MT"/>
                <w:spacing w:val="-2"/>
              </w:rPr>
              <w:t>antérieures</w:t>
            </w:r>
          </w:p>
        </w:tc>
        <w:tc>
          <w:tcPr>
            <w:tcW w:w="4122" w:type="dxa"/>
            <w:tcBorders>
              <w:top w:val="dotted" w:sz="8" w:space="0" w:color="000000"/>
            </w:tcBorders>
          </w:tcPr>
          <w:p w14:paraId="347FA38C" w14:textId="77777777" w:rsidR="002B3448" w:rsidRDefault="002B3448">
            <w:pPr>
              <w:pStyle w:val="TableParagraph"/>
              <w:spacing w:before="13"/>
              <w:rPr>
                <w:b/>
              </w:rPr>
            </w:pPr>
          </w:p>
          <w:p w14:paraId="1FB1FD9D" w14:textId="77777777" w:rsidR="002B3448" w:rsidRDefault="00000000">
            <w:pPr>
              <w:pStyle w:val="TableParagraph"/>
              <w:ind w:left="1355"/>
              <w:rPr>
                <w:rFonts w:ascii="Arial MT" w:hAnsi="Arial MT"/>
              </w:rPr>
            </w:pPr>
            <w:r>
              <w:rPr>
                <w:rFonts w:ascii="Arial MT" w:hAnsi="Arial MT"/>
                <w:noProof/>
              </w:rPr>
              <mc:AlternateContent>
                <mc:Choice Requires="wps">
                  <w:drawing>
                    <wp:anchor distT="0" distB="0" distL="0" distR="0" simplePos="0" relativeHeight="487417856" behindDoc="1" locked="0" layoutInCell="1" allowOverlap="1" wp14:anchorId="1EF5B23B" wp14:editId="52C351AE">
                      <wp:simplePos x="0" y="0"/>
                      <wp:positionH relativeFrom="column">
                        <wp:posOffset>-64143</wp:posOffset>
                      </wp:positionH>
                      <wp:positionV relativeFrom="paragraph">
                        <wp:posOffset>-2079016</wp:posOffset>
                      </wp:positionV>
                      <wp:extent cx="12700" cy="22745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274570"/>
                                <a:chOff x="0" y="0"/>
                                <a:chExt cx="12700" cy="2274570"/>
                              </a:xfrm>
                            </wpg:grpSpPr>
                            <wps:wsp>
                              <wps:cNvPr id="17" name="Graphic 17"/>
                              <wps:cNvSpPr/>
                              <wps:spPr>
                                <a:xfrm>
                                  <a:off x="6095" y="0"/>
                                  <a:ext cx="1270" cy="2274570"/>
                                </a:xfrm>
                                <a:custGeom>
                                  <a:avLst/>
                                  <a:gdLst/>
                                  <a:ahLst/>
                                  <a:cxnLst/>
                                  <a:rect l="l" t="t" r="r" b="b"/>
                                  <a:pathLst>
                                    <a:path h="2274570">
                                      <a:moveTo>
                                        <a:pt x="0" y="0"/>
                                      </a:moveTo>
                                      <a:lnTo>
                                        <a:pt x="0" y="1883917"/>
                                      </a:lnTo>
                                    </a:path>
                                    <a:path h="2274570">
                                      <a:moveTo>
                                        <a:pt x="0" y="1909826"/>
                                      </a:moveTo>
                                      <a:lnTo>
                                        <a:pt x="0" y="2274061"/>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050701pt;margin-top:-163.702118pt;width:1pt;height:179.1pt;mso-position-horizontal-relative:column;mso-position-vertical-relative:paragraph;z-index:-15898624" id="docshapegroup11" coordorigin="-101,-3274" coordsize="20,3582">
                      <v:shape style="position:absolute;left:-92;top:-3275;width:2;height:3582" id="docshape12" coordorigin="-91,-3274" coordsize="0,3582" path="m-91,-3274l-91,-307m-91,-266l-91,307e" filled="false" stroked="true" strokeweight=".96pt" strokecolor="#000000">
                        <v:path arrowok="t"/>
                        <v:stroke dashstyle="shortdot"/>
                      </v:shape>
                      <w10:wrap type="none"/>
                    </v:group>
                  </w:pict>
                </mc:Fallback>
              </mc:AlternateContent>
            </w:r>
            <w:r>
              <w:rPr>
                <w:rFonts w:ascii="Arial MT" w:hAnsi="Arial MT"/>
              </w:rPr>
              <w:t>Signe</w:t>
            </w:r>
            <w:r>
              <w:rPr>
                <w:rFonts w:ascii="Arial MT" w:hAnsi="Arial MT"/>
                <w:spacing w:val="-5"/>
              </w:rPr>
              <w:t xml:space="preserve"> </w:t>
            </w:r>
            <w:r>
              <w:rPr>
                <w:rFonts w:ascii="Arial MT" w:hAnsi="Arial MT"/>
                <w:spacing w:val="-2"/>
              </w:rPr>
              <w:t>contesté</w:t>
            </w:r>
          </w:p>
        </w:tc>
      </w:tr>
    </w:tbl>
    <w:p w14:paraId="691A1FF8" w14:textId="77777777" w:rsidR="002B3448" w:rsidRDefault="002B3448">
      <w:pPr>
        <w:pStyle w:val="Corpsdetexte"/>
        <w:rPr>
          <w:rFonts w:ascii="Arial"/>
          <w:b/>
        </w:rPr>
      </w:pPr>
    </w:p>
    <w:p w14:paraId="2A4967FA" w14:textId="77777777" w:rsidR="002B3448" w:rsidRDefault="002B3448">
      <w:pPr>
        <w:pStyle w:val="Corpsdetexte"/>
        <w:spacing w:before="1"/>
        <w:rPr>
          <w:rFonts w:ascii="Arial"/>
          <w:b/>
        </w:rPr>
      </w:pPr>
    </w:p>
    <w:p w14:paraId="5D26B776" w14:textId="77777777" w:rsidR="002B3448" w:rsidRDefault="00000000">
      <w:pPr>
        <w:pStyle w:val="Corpsdetexte"/>
        <w:ind w:left="165"/>
        <w:jc w:val="both"/>
      </w:pPr>
      <w:r>
        <w:t>Le</w:t>
      </w:r>
      <w:r>
        <w:rPr>
          <w:spacing w:val="-6"/>
        </w:rPr>
        <w:t xml:space="preserve"> </w:t>
      </w:r>
      <w:r>
        <w:t>territoire</w:t>
      </w:r>
      <w:r>
        <w:rPr>
          <w:spacing w:val="-7"/>
        </w:rPr>
        <w:t xml:space="preserve"> </w:t>
      </w:r>
      <w:r>
        <w:t>pertinent</w:t>
      </w:r>
      <w:r>
        <w:rPr>
          <w:spacing w:val="-7"/>
        </w:rPr>
        <w:t xml:space="preserve"> </w:t>
      </w:r>
      <w:r>
        <w:t>est</w:t>
      </w:r>
      <w:r>
        <w:rPr>
          <w:spacing w:val="-8"/>
        </w:rPr>
        <w:t xml:space="preserve"> </w:t>
      </w:r>
      <w:r>
        <w:t>l’Union</w:t>
      </w:r>
      <w:r>
        <w:rPr>
          <w:spacing w:val="-5"/>
        </w:rPr>
        <w:t xml:space="preserve"> </w:t>
      </w:r>
      <w:r>
        <w:rPr>
          <w:spacing w:val="-2"/>
        </w:rPr>
        <w:t>européenne.</w:t>
      </w:r>
    </w:p>
    <w:p w14:paraId="31591B4F" w14:textId="77777777" w:rsidR="002B3448" w:rsidRDefault="002B3448">
      <w:pPr>
        <w:pStyle w:val="Corpsdetexte"/>
      </w:pPr>
    </w:p>
    <w:p w14:paraId="42797FB0" w14:textId="77777777" w:rsidR="002B3448" w:rsidRDefault="00000000">
      <w:pPr>
        <w:pStyle w:val="Corpsdetexte"/>
        <w:spacing w:before="1"/>
        <w:ind w:left="165" w:right="157"/>
        <w:jc w:val="both"/>
      </w:pPr>
      <w:r>
        <w:t>L</w:t>
      </w:r>
      <w:r>
        <w:rPr>
          <w:rFonts w:ascii="Cambria Math" w:hAnsi="Cambria Math"/>
        </w:rPr>
        <w:t>’</w:t>
      </w:r>
      <w:r>
        <w:t>appr</w:t>
      </w:r>
      <w:r>
        <w:rPr>
          <w:rFonts w:ascii="Cambria Math" w:hAnsi="Cambria Math"/>
        </w:rPr>
        <w:t>é</w:t>
      </w:r>
      <w:r>
        <w:t>ciation</w:t>
      </w:r>
      <w:r>
        <w:rPr>
          <w:spacing w:val="-2"/>
        </w:rPr>
        <w:t xml:space="preserve"> </w:t>
      </w:r>
      <w:r>
        <w:t>globale</w:t>
      </w:r>
      <w:r>
        <w:rPr>
          <w:spacing w:val="-2"/>
        </w:rPr>
        <w:t xml:space="preserve"> </w:t>
      </w:r>
      <w:r>
        <w:t>doit, en</w:t>
      </w:r>
      <w:r>
        <w:rPr>
          <w:spacing w:val="-2"/>
        </w:rPr>
        <w:t xml:space="preserve"> </w:t>
      </w:r>
      <w:r>
        <w:t>ce</w:t>
      </w:r>
      <w:r>
        <w:rPr>
          <w:spacing w:val="-4"/>
        </w:rPr>
        <w:t xml:space="preserve"> </w:t>
      </w:r>
      <w:r>
        <w:t>qui</w:t>
      </w:r>
      <w:r>
        <w:rPr>
          <w:spacing w:val="-3"/>
        </w:rPr>
        <w:t xml:space="preserve"> </w:t>
      </w:r>
      <w:r>
        <w:t>concerne</w:t>
      </w:r>
      <w:r>
        <w:rPr>
          <w:spacing w:val="-2"/>
        </w:rPr>
        <w:t xml:space="preserve"> </w:t>
      </w:r>
      <w:r>
        <w:t>la</w:t>
      </w:r>
      <w:r>
        <w:rPr>
          <w:spacing w:val="-4"/>
        </w:rPr>
        <w:t xml:space="preserve"> </w:t>
      </w:r>
      <w:r>
        <w:t xml:space="preserve">similitude visuelle, auditive ou conceptuelle des marques en cause, </w:t>
      </w:r>
      <w:r>
        <w:rPr>
          <w:rFonts w:ascii="Cambria Math" w:hAnsi="Cambria Math"/>
        </w:rPr>
        <w:t>ê</w:t>
      </w:r>
      <w:r>
        <w:t>tre fond</w:t>
      </w:r>
      <w:r>
        <w:rPr>
          <w:rFonts w:ascii="Cambria Math" w:hAnsi="Cambria Math"/>
        </w:rPr>
        <w:t>é</w:t>
      </w:r>
      <w:r>
        <w:t>e sur l</w:t>
      </w:r>
      <w:r>
        <w:rPr>
          <w:rFonts w:ascii="Cambria Math" w:hAnsi="Cambria Math"/>
        </w:rPr>
        <w:t>’</w:t>
      </w:r>
      <w:r>
        <w:t>impression d</w:t>
      </w:r>
      <w:r>
        <w:rPr>
          <w:rFonts w:ascii="Cambria Math" w:hAnsi="Cambria Math"/>
        </w:rPr>
        <w:t>’</w:t>
      </w:r>
      <w:r>
        <w:t>ensemble produite par les marques,</w:t>
      </w:r>
      <w:r>
        <w:rPr>
          <w:spacing w:val="40"/>
        </w:rPr>
        <w:t xml:space="preserve"> </w:t>
      </w:r>
      <w:r>
        <w:t xml:space="preserve">en tenant compte, notamment, des </w:t>
      </w:r>
      <w:r>
        <w:rPr>
          <w:rFonts w:ascii="Cambria Math" w:hAnsi="Cambria Math"/>
        </w:rPr>
        <w:t>é</w:t>
      </w:r>
      <w:r>
        <w:t>l</w:t>
      </w:r>
      <w:r>
        <w:rPr>
          <w:rFonts w:ascii="Cambria Math" w:hAnsi="Cambria Math"/>
        </w:rPr>
        <w:t>é</w:t>
      </w:r>
      <w:r>
        <w:t>ments distinctifs et dominants de celles-ci</w:t>
      </w:r>
      <w:r>
        <w:rPr>
          <w:spacing w:val="40"/>
        </w:rPr>
        <w:t xml:space="preserve"> </w:t>
      </w:r>
      <w:r>
        <w:t>(11/11/1997, C-251/95, Sab</w:t>
      </w:r>
      <w:r>
        <w:rPr>
          <w:rFonts w:ascii="Cambria Math" w:hAnsi="Cambria Math"/>
        </w:rPr>
        <w:t>è</w:t>
      </w:r>
      <w:r>
        <w:t xml:space="preserve">l, EU:C:1997:528, </w:t>
      </w:r>
      <w:r>
        <w:rPr>
          <w:rFonts w:ascii="Cambria Math" w:hAnsi="Cambria Math"/>
        </w:rPr>
        <w:t xml:space="preserve">§ </w:t>
      </w:r>
      <w:r>
        <w:t>23).</w:t>
      </w:r>
    </w:p>
    <w:p w14:paraId="4A24628C" w14:textId="77777777" w:rsidR="002B3448" w:rsidRDefault="002B3448">
      <w:pPr>
        <w:pStyle w:val="Corpsdetexte"/>
      </w:pPr>
    </w:p>
    <w:p w14:paraId="70E56601" w14:textId="77777777" w:rsidR="002B3448" w:rsidRDefault="00000000">
      <w:pPr>
        <w:pStyle w:val="Corpsdetexte"/>
        <w:spacing w:line="252" w:lineRule="exact"/>
        <w:ind w:left="165"/>
        <w:jc w:val="both"/>
      </w:pPr>
      <w:r>
        <w:t>Les</w:t>
      </w:r>
      <w:r>
        <w:rPr>
          <w:spacing w:val="68"/>
        </w:rPr>
        <w:t xml:space="preserve"> </w:t>
      </w:r>
      <w:r>
        <w:t>marques</w:t>
      </w:r>
      <w:r>
        <w:rPr>
          <w:spacing w:val="66"/>
        </w:rPr>
        <w:t xml:space="preserve"> </w:t>
      </w:r>
      <w:r>
        <w:t>antérieures</w:t>
      </w:r>
      <w:r>
        <w:rPr>
          <w:spacing w:val="68"/>
        </w:rPr>
        <w:t xml:space="preserve"> </w:t>
      </w:r>
      <w:r>
        <w:t>«1</w:t>
      </w:r>
      <w:r>
        <w:rPr>
          <w:spacing w:val="67"/>
        </w:rPr>
        <w:t xml:space="preserve"> </w:t>
      </w:r>
      <w:r>
        <w:t>et</w:t>
      </w:r>
      <w:r>
        <w:rPr>
          <w:spacing w:val="67"/>
        </w:rPr>
        <w:t xml:space="preserve"> </w:t>
      </w:r>
      <w:r>
        <w:t>3»</w:t>
      </w:r>
      <w:r>
        <w:rPr>
          <w:spacing w:val="68"/>
        </w:rPr>
        <w:t xml:space="preserve"> </w:t>
      </w:r>
      <w:r>
        <w:t>et</w:t>
      </w:r>
      <w:r>
        <w:rPr>
          <w:spacing w:val="66"/>
        </w:rPr>
        <w:t xml:space="preserve"> </w:t>
      </w:r>
      <w:r>
        <w:t>l’élément</w:t>
      </w:r>
      <w:r>
        <w:rPr>
          <w:spacing w:val="69"/>
        </w:rPr>
        <w:t xml:space="preserve"> </w:t>
      </w:r>
      <w:r>
        <w:t>verbal</w:t>
      </w:r>
      <w:r>
        <w:rPr>
          <w:spacing w:val="67"/>
        </w:rPr>
        <w:t xml:space="preserve"> </w:t>
      </w:r>
      <w:r>
        <w:t>de</w:t>
      </w:r>
      <w:r>
        <w:rPr>
          <w:spacing w:val="65"/>
        </w:rPr>
        <w:t xml:space="preserve"> </w:t>
      </w:r>
      <w:r>
        <w:t>la</w:t>
      </w:r>
      <w:r>
        <w:rPr>
          <w:spacing w:val="65"/>
        </w:rPr>
        <w:t xml:space="preserve"> </w:t>
      </w:r>
      <w:r>
        <w:t>marque</w:t>
      </w:r>
      <w:r>
        <w:rPr>
          <w:spacing w:val="68"/>
        </w:rPr>
        <w:t xml:space="preserve"> </w:t>
      </w:r>
      <w:r>
        <w:t>antérieure</w:t>
      </w:r>
      <w:r>
        <w:rPr>
          <w:spacing w:val="68"/>
        </w:rPr>
        <w:t xml:space="preserve"> </w:t>
      </w:r>
      <w:r>
        <w:t>no</w:t>
      </w:r>
      <w:r>
        <w:rPr>
          <w:spacing w:val="68"/>
        </w:rPr>
        <w:t xml:space="preserve"> </w:t>
      </w:r>
      <w:r>
        <w:rPr>
          <w:spacing w:val="-10"/>
        </w:rPr>
        <w:t>2</w:t>
      </w:r>
    </w:p>
    <w:p w14:paraId="2B8729B4" w14:textId="77777777" w:rsidR="002B3448" w:rsidRDefault="00000000">
      <w:pPr>
        <w:pStyle w:val="Corpsdetexte"/>
        <w:ind w:left="165" w:right="160"/>
        <w:jc w:val="both"/>
      </w:pPr>
      <w:r>
        <w:t>«BERLUTI» et l’élément verbal «BERLISI» du signe contesté sont susceptibles d’être</w:t>
      </w:r>
      <w:r>
        <w:rPr>
          <w:spacing w:val="40"/>
        </w:rPr>
        <w:t xml:space="preserve"> </w:t>
      </w:r>
      <w:r>
        <w:t>perçus par une grande majorité du public pertinent comme des noms de famille et, compte tenu de leurs terminaisons, même comme des noms de famille d’origine italienne, sans signification supplémentaire. En effet, dans le secteur du marché en cause, à savoir le secteur de la mode au sens le plus large, il est assez courant que les créateurs commercialisent leurs produits et services connexes, tels que des services de vente, avec leurs noms de famille. Compte tenu du fait que ni «BERLUTI» ni «BERLISI» n’ont de signification par rapport aux produits et services pertinents respectifs, ils sont tous deux distinctifs à un degré normal.</w:t>
      </w:r>
    </w:p>
    <w:p w14:paraId="7B57A33F" w14:textId="77777777" w:rsidR="002B3448" w:rsidRDefault="002B3448">
      <w:pPr>
        <w:pStyle w:val="Corpsdetexte"/>
        <w:jc w:val="both"/>
        <w:sectPr w:rsidR="002B3448">
          <w:pgSz w:w="11910" w:h="16840"/>
          <w:pgMar w:top="1000" w:right="1275" w:bottom="280" w:left="1275" w:header="727" w:footer="0" w:gutter="0"/>
          <w:cols w:space="720"/>
        </w:sectPr>
      </w:pPr>
    </w:p>
    <w:p w14:paraId="6C1EA550" w14:textId="77777777" w:rsidR="002B3448" w:rsidRDefault="00000000">
      <w:pPr>
        <w:pStyle w:val="Corpsdetexte"/>
        <w:spacing w:before="181"/>
      </w:pPr>
      <w:r>
        <w:rPr>
          <w:noProof/>
        </w:rPr>
        <w:lastRenderedPageBreak/>
        <mc:AlternateContent>
          <mc:Choice Requires="wps">
            <w:drawing>
              <wp:anchor distT="0" distB="0" distL="0" distR="0" simplePos="0" relativeHeight="15733248" behindDoc="0" locked="0" layoutInCell="1" allowOverlap="1" wp14:anchorId="2A216EA8" wp14:editId="5F9EF2D4">
                <wp:simplePos x="0" y="0"/>
                <wp:positionH relativeFrom="page">
                  <wp:posOffset>270575</wp:posOffset>
                </wp:positionH>
                <wp:positionV relativeFrom="page">
                  <wp:posOffset>1114363</wp:posOffset>
                </wp:positionV>
                <wp:extent cx="146050" cy="92100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D4A7BC3"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248" type="#_x0000_t202" id="docshape1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6EB8F0F6" w14:textId="77777777" w:rsidR="002B3448" w:rsidRDefault="00000000">
      <w:pPr>
        <w:pStyle w:val="Corpsdetexte"/>
        <w:ind w:left="165" w:right="159"/>
        <w:jc w:val="both"/>
      </w:pPr>
      <w:r>
        <w:t>En outre, la marque antérieure 2 comprend respectivement le nombre «1895» et l’élément verbal</w:t>
      </w:r>
      <w:r>
        <w:rPr>
          <w:spacing w:val="-3"/>
        </w:rPr>
        <w:t xml:space="preserve"> </w:t>
      </w:r>
      <w:r>
        <w:t>«PARIS»,</w:t>
      </w:r>
      <w:r>
        <w:rPr>
          <w:spacing w:val="-1"/>
        </w:rPr>
        <w:t xml:space="preserve"> </w:t>
      </w:r>
      <w:r>
        <w:t>placés</w:t>
      </w:r>
      <w:r>
        <w:rPr>
          <w:spacing w:val="-1"/>
        </w:rPr>
        <w:t xml:space="preserve"> </w:t>
      </w:r>
      <w:r>
        <w:t>en</w:t>
      </w:r>
      <w:r>
        <w:rPr>
          <w:spacing w:val="-2"/>
        </w:rPr>
        <w:t xml:space="preserve"> </w:t>
      </w:r>
      <w:r>
        <w:t>haut</w:t>
      </w:r>
      <w:r>
        <w:rPr>
          <w:spacing w:val="-1"/>
        </w:rPr>
        <w:t xml:space="preserve"> </w:t>
      </w:r>
      <w:r>
        <w:t>et</w:t>
      </w:r>
      <w:r>
        <w:rPr>
          <w:spacing w:val="-1"/>
        </w:rPr>
        <w:t xml:space="preserve"> </w:t>
      </w:r>
      <w:r>
        <w:t>en</w:t>
      </w:r>
      <w:r>
        <w:rPr>
          <w:spacing w:val="-4"/>
        </w:rPr>
        <w:t xml:space="preserve"> </w:t>
      </w:r>
      <w:r>
        <w:t>bas</w:t>
      </w:r>
      <w:r>
        <w:rPr>
          <w:spacing w:val="-1"/>
        </w:rPr>
        <w:t xml:space="preserve"> </w:t>
      </w:r>
      <w:r>
        <w:t>de</w:t>
      </w:r>
      <w:r>
        <w:rPr>
          <w:spacing w:val="-2"/>
        </w:rPr>
        <w:t xml:space="preserve"> </w:t>
      </w:r>
      <w:r>
        <w:t>l’élément</w:t>
      </w:r>
      <w:r>
        <w:rPr>
          <w:spacing w:val="-1"/>
        </w:rPr>
        <w:t xml:space="preserve"> </w:t>
      </w:r>
      <w:r>
        <w:t>«BERLUTI». Ce</w:t>
      </w:r>
      <w:r>
        <w:rPr>
          <w:spacing w:val="-2"/>
        </w:rPr>
        <w:t xml:space="preserve"> </w:t>
      </w:r>
      <w:r>
        <w:t>dernier</w:t>
      </w:r>
      <w:r>
        <w:rPr>
          <w:spacing w:val="-1"/>
        </w:rPr>
        <w:t xml:space="preserve"> </w:t>
      </w:r>
      <w:r>
        <w:t>est</w:t>
      </w:r>
      <w:r>
        <w:rPr>
          <w:spacing w:val="-3"/>
        </w:rPr>
        <w:t xml:space="preserve"> </w:t>
      </w:r>
      <w:r>
        <w:t>l’élément visuellement plus frappant (c’est-à-dire dominant) dans le signe, en raison de sa position centrale et de sa taille supérieure par rapport aux autres éléments. En tout état de cause, tant le nombre «1895» que l’élément «PARIS» ont un caractère distinctif faible, voire nul, puisque le premier sera perçu comme une indication de l’année de création de la société de l’opposante ou du début de la commercialisation des produits, et le second comme lieu d’implantation de la société.</w:t>
      </w:r>
    </w:p>
    <w:p w14:paraId="4800F3CB" w14:textId="77777777" w:rsidR="002B3448" w:rsidRDefault="002B3448">
      <w:pPr>
        <w:pStyle w:val="Corpsdetexte"/>
        <w:spacing w:before="1"/>
      </w:pPr>
    </w:p>
    <w:p w14:paraId="67959846" w14:textId="77777777" w:rsidR="002B3448" w:rsidRDefault="00000000">
      <w:pPr>
        <w:pStyle w:val="Corpsdetexte"/>
        <w:ind w:left="165" w:right="161"/>
        <w:jc w:val="both"/>
      </w:pPr>
      <w:r>
        <w:t>De</w:t>
      </w:r>
      <w:r>
        <w:rPr>
          <w:spacing w:val="-2"/>
        </w:rPr>
        <w:t xml:space="preserve"> </w:t>
      </w:r>
      <w:r>
        <w:t>même, le</w:t>
      </w:r>
      <w:r>
        <w:rPr>
          <w:spacing w:val="-1"/>
        </w:rPr>
        <w:t xml:space="preserve"> </w:t>
      </w:r>
      <w:r>
        <w:t>signe</w:t>
      </w:r>
      <w:r>
        <w:rPr>
          <w:spacing w:val="-4"/>
        </w:rPr>
        <w:t xml:space="preserve"> </w:t>
      </w:r>
      <w:r>
        <w:t>contesté</w:t>
      </w:r>
      <w:r>
        <w:rPr>
          <w:spacing w:val="-2"/>
        </w:rPr>
        <w:t xml:space="preserve"> </w:t>
      </w:r>
      <w:r>
        <w:t>comprend</w:t>
      </w:r>
      <w:r>
        <w:rPr>
          <w:spacing w:val="-2"/>
        </w:rPr>
        <w:t xml:space="preserve"> </w:t>
      </w:r>
      <w:r>
        <w:t>le</w:t>
      </w:r>
      <w:r>
        <w:rPr>
          <w:spacing w:val="-2"/>
        </w:rPr>
        <w:t xml:space="preserve"> </w:t>
      </w:r>
      <w:r>
        <w:t>chiffre</w:t>
      </w:r>
      <w:r>
        <w:rPr>
          <w:spacing w:val="-2"/>
        </w:rPr>
        <w:t xml:space="preserve"> </w:t>
      </w:r>
      <w:r>
        <w:t>«05»</w:t>
      </w:r>
      <w:r>
        <w:rPr>
          <w:spacing w:val="-2"/>
        </w:rPr>
        <w:t xml:space="preserve"> </w:t>
      </w:r>
      <w:r>
        <w:t>et la</w:t>
      </w:r>
      <w:r>
        <w:rPr>
          <w:spacing w:val="-2"/>
        </w:rPr>
        <w:t xml:space="preserve"> </w:t>
      </w:r>
      <w:r>
        <w:t>séquence</w:t>
      </w:r>
      <w:r>
        <w:rPr>
          <w:spacing w:val="-2"/>
        </w:rPr>
        <w:t xml:space="preserve"> </w:t>
      </w:r>
      <w:r>
        <w:t>«91S»,</w:t>
      </w:r>
      <w:r>
        <w:rPr>
          <w:spacing w:val="-1"/>
        </w:rPr>
        <w:t xml:space="preserve"> </w:t>
      </w:r>
      <w:r>
        <w:t>respectivement placés au bas de</w:t>
      </w:r>
      <w:r>
        <w:rPr>
          <w:spacing w:val="-2"/>
        </w:rPr>
        <w:t xml:space="preserve"> </w:t>
      </w:r>
      <w:r>
        <w:t>gauche et à droite de l’élément verbal du signe. Étant donné qu’aucun des deux éléments ne véhicule de signification en rapport avec les produits et services pertinents, ils sont tous deux distinctifs à un degré normal. Néanmoins, ils occupent une position secondaire en raison de leur taille réduite et de leur position reléguée par rapport à l’élément verbal dominant «BERLISI». En outre, la stylisation des deux signes est normale.</w:t>
      </w:r>
    </w:p>
    <w:p w14:paraId="70FF93FD" w14:textId="77777777" w:rsidR="002B3448" w:rsidRDefault="002B3448">
      <w:pPr>
        <w:pStyle w:val="Corpsdetexte"/>
        <w:spacing w:before="1"/>
      </w:pPr>
    </w:p>
    <w:p w14:paraId="17DD3398" w14:textId="77777777" w:rsidR="002B3448" w:rsidRDefault="00000000">
      <w:pPr>
        <w:pStyle w:val="Corpsdetexte"/>
        <w:ind w:left="165" w:right="161"/>
        <w:jc w:val="both"/>
      </w:pPr>
      <w:r>
        <w:rPr>
          <w:rFonts w:ascii="Arial" w:hAnsi="Arial"/>
          <w:b/>
        </w:rPr>
        <w:t>Sur le plan visuel</w:t>
      </w:r>
      <w:r>
        <w:t>, «BERLUTI» dans les marques antérieures et «BERLISI» dans le signe contesté coïncident par les lettres «BERL * * I», qui apparaissent au même endroit et dans</w:t>
      </w:r>
      <w:r>
        <w:rPr>
          <w:spacing w:val="40"/>
        </w:rPr>
        <w:t xml:space="preserve"> </w:t>
      </w:r>
      <w:r>
        <w:t>le même ordre dans ces éléments. Toutefois, ils diffèrent par leurs cinquième et sixième lettres respectives, «UT» contre «IS», et les signes diffèrent davantage par le nombre «05» et la séquence «91S» et par la stylisation standard du signe contesté. Dans la comparaison avec</w:t>
      </w:r>
      <w:r>
        <w:rPr>
          <w:spacing w:val="33"/>
        </w:rPr>
        <w:t xml:space="preserve"> </w:t>
      </w:r>
      <w:r>
        <w:t>la</w:t>
      </w:r>
      <w:r>
        <w:rPr>
          <w:spacing w:val="31"/>
        </w:rPr>
        <w:t xml:space="preserve"> </w:t>
      </w:r>
      <w:r>
        <w:t>marque</w:t>
      </w:r>
      <w:r>
        <w:rPr>
          <w:spacing w:val="30"/>
        </w:rPr>
        <w:t xml:space="preserve"> </w:t>
      </w:r>
      <w:r>
        <w:t>antérieure</w:t>
      </w:r>
      <w:r>
        <w:rPr>
          <w:spacing w:val="33"/>
        </w:rPr>
        <w:t xml:space="preserve"> </w:t>
      </w:r>
      <w:r>
        <w:t>2),</w:t>
      </w:r>
      <w:r>
        <w:rPr>
          <w:spacing w:val="32"/>
        </w:rPr>
        <w:t xml:space="preserve"> </w:t>
      </w:r>
      <w:r>
        <w:t>les</w:t>
      </w:r>
      <w:r>
        <w:rPr>
          <w:spacing w:val="31"/>
        </w:rPr>
        <w:t xml:space="preserve"> </w:t>
      </w:r>
      <w:r>
        <w:t>signes</w:t>
      </w:r>
      <w:r>
        <w:rPr>
          <w:spacing w:val="31"/>
        </w:rPr>
        <w:t xml:space="preserve"> </w:t>
      </w:r>
      <w:r>
        <w:t>diffèrent</w:t>
      </w:r>
      <w:r>
        <w:rPr>
          <w:spacing w:val="32"/>
        </w:rPr>
        <w:t xml:space="preserve"> </w:t>
      </w:r>
      <w:r>
        <w:t>également</w:t>
      </w:r>
      <w:r>
        <w:rPr>
          <w:spacing w:val="32"/>
        </w:rPr>
        <w:t xml:space="preserve"> </w:t>
      </w:r>
      <w:r>
        <w:t>par</w:t>
      </w:r>
      <w:r>
        <w:rPr>
          <w:spacing w:val="32"/>
        </w:rPr>
        <w:t xml:space="preserve"> </w:t>
      </w:r>
      <w:r>
        <w:t>les</w:t>
      </w:r>
      <w:r>
        <w:rPr>
          <w:spacing w:val="31"/>
        </w:rPr>
        <w:t xml:space="preserve"> </w:t>
      </w:r>
      <w:r>
        <w:t>éléments</w:t>
      </w:r>
      <w:r>
        <w:rPr>
          <w:spacing w:val="31"/>
        </w:rPr>
        <w:t xml:space="preserve"> </w:t>
      </w:r>
      <w:r>
        <w:t>«1895»</w:t>
      </w:r>
      <w:r>
        <w:rPr>
          <w:spacing w:val="30"/>
        </w:rPr>
        <w:t xml:space="preserve"> </w:t>
      </w:r>
      <w:r>
        <w:t>et</w:t>
      </w:r>
    </w:p>
    <w:p w14:paraId="1C110A3D" w14:textId="77777777" w:rsidR="002B3448" w:rsidRDefault="00000000">
      <w:pPr>
        <w:pStyle w:val="Corpsdetexte"/>
        <w:ind w:left="165" w:right="158"/>
        <w:jc w:val="both"/>
      </w:pPr>
      <w:r>
        <w:t>«PARIS» et par la stylisation du signe; toutefois, comme expliqué ci-dessus, ils ont un caractère distinctif faible, voire inexistant. La division d’opposition souligne que les consommateurs ont généralement tendance à se concentrer sur le début d’un signe</w:t>
      </w:r>
      <w:r>
        <w:rPr>
          <w:spacing w:val="40"/>
        </w:rPr>
        <w:t xml:space="preserve"> </w:t>
      </w:r>
      <w:r>
        <w:t>lorsqu’ils sont confrontés</w:t>
      </w:r>
      <w:r>
        <w:rPr>
          <w:spacing w:val="-1"/>
        </w:rPr>
        <w:t xml:space="preserve"> </w:t>
      </w:r>
      <w:r>
        <w:t>à une marque. Cette</w:t>
      </w:r>
      <w:r>
        <w:rPr>
          <w:spacing w:val="-1"/>
        </w:rPr>
        <w:t xml:space="preserve"> </w:t>
      </w:r>
      <w:r>
        <w:t>tendance s’explique par le</w:t>
      </w:r>
      <w:r>
        <w:rPr>
          <w:spacing w:val="-1"/>
        </w:rPr>
        <w:t xml:space="preserve"> </w:t>
      </w:r>
      <w:r>
        <w:t>fait que le public lit de</w:t>
      </w:r>
      <w:r>
        <w:rPr>
          <w:spacing w:val="-1"/>
        </w:rPr>
        <w:t xml:space="preserve"> </w:t>
      </w:r>
      <w:r>
        <w:t>gauche</w:t>
      </w:r>
      <w:r>
        <w:rPr>
          <w:spacing w:val="-1"/>
        </w:rPr>
        <w:t xml:space="preserve"> </w:t>
      </w:r>
      <w:r>
        <w:t>à droite, ce</w:t>
      </w:r>
      <w:r>
        <w:rPr>
          <w:spacing w:val="-3"/>
        </w:rPr>
        <w:t xml:space="preserve"> </w:t>
      </w:r>
      <w:r>
        <w:t>qui</w:t>
      </w:r>
      <w:r>
        <w:rPr>
          <w:spacing w:val="-1"/>
        </w:rPr>
        <w:t xml:space="preserve"> </w:t>
      </w:r>
      <w:r>
        <w:t>fait</w:t>
      </w:r>
      <w:r>
        <w:rPr>
          <w:spacing w:val="-2"/>
        </w:rPr>
        <w:t xml:space="preserve"> </w:t>
      </w:r>
      <w:r>
        <w:t>que</w:t>
      </w:r>
      <w:r>
        <w:rPr>
          <w:spacing w:val="-1"/>
        </w:rPr>
        <w:t xml:space="preserve"> </w:t>
      </w:r>
      <w:r>
        <w:t>la partie placée à la</w:t>
      </w:r>
      <w:r>
        <w:rPr>
          <w:spacing w:val="-3"/>
        </w:rPr>
        <w:t xml:space="preserve"> </w:t>
      </w:r>
      <w:r>
        <w:t>gauche</w:t>
      </w:r>
      <w:r>
        <w:rPr>
          <w:spacing w:val="-1"/>
        </w:rPr>
        <w:t xml:space="preserve"> </w:t>
      </w:r>
      <w:r>
        <w:t>du</w:t>
      </w:r>
      <w:r>
        <w:rPr>
          <w:spacing w:val="-1"/>
        </w:rPr>
        <w:t xml:space="preserve"> </w:t>
      </w:r>
      <w:r>
        <w:t>signe</w:t>
      </w:r>
      <w:r>
        <w:rPr>
          <w:spacing w:val="-1"/>
        </w:rPr>
        <w:t xml:space="preserve"> </w:t>
      </w:r>
      <w:r>
        <w:t xml:space="preserve">(la partie initiale) est celle qui attire en premier lieu l’attention du lecteur. Par conséquent, la coïncidence au niveau des quatre premières lettres des marques antérieures 1 et 3 et de l’élément verbal dominant «BERLUTI» de la marque antérieure 2 est particulièrement importante. Par conséquent, et compte tenu des considérations qui précèdent en ce qui concerne le caractère distinctif des éléments composant les signes, les signes présentent un </w:t>
      </w:r>
      <w:r>
        <w:rPr>
          <w:u w:val="single"/>
        </w:rPr>
        <w:t>degré</w:t>
      </w:r>
      <w:r>
        <w:t xml:space="preserve"> </w:t>
      </w:r>
      <w:r>
        <w:rPr>
          <w:u w:val="single"/>
        </w:rPr>
        <w:t>moyen de similitude sur le plan visuel.</w:t>
      </w:r>
    </w:p>
    <w:p w14:paraId="54C28C98" w14:textId="77777777" w:rsidR="002B3448" w:rsidRDefault="002B3448">
      <w:pPr>
        <w:pStyle w:val="Corpsdetexte"/>
      </w:pPr>
    </w:p>
    <w:p w14:paraId="4698732B" w14:textId="77777777" w:rsidR="002B3448" w:rsidRDefault="00000000">
      <w:pPr>
        <w:spacing w:line="252" w:lineRule="exact"/>
        <w:ind w:left="165"/>
        <w:jc w:val="both"/>
      </w:pPr>
      <w:r>
        <w:rPr>
          <w:rFonts w:ascii="Arial" w:hAnsi="Arial"/>
          <w:b/>
        </w:rPr>
        <w:t>Sur</w:t>
      </w:r>
      <w:r>
        <w:rPr>
          <w:rFonts w:ascii="Arial" w:hAnsi="Arial"/>
          <w:b/>
          <w:spacing w:val="1"/>
        </w:rPr>
        <w:t xml:space="preserve"> </w:t>
      </w:r>
      <w:r>
        <w:rPr>
          <w:rFonts w:ascii="Arial" w:hAnsi="Arial"/>
          <w:b/>
        </w:rPr>
        <w:t>le plan</w:t>
      </w:r>
      <w:r>
        <w:rPr>
          <w:rFonts w:ascii="Arial" w:hAnsi="Arial"/>
          <w:b/>
          <w:spacing w:val="3"/>
        </w:rPr>
        <w:t xml:space="preserve"> </w:t>
      </w:r>
      <w:r>
        <w:rPr>
          <w:rFonts w:ascii="Arial" w:hAnsi="Arial"/>
          <w:b/>
        </w:rPr>
        <w:t>phonétique</w:t>
      </w:r>
      <w:r>
        <w:t>,</w:t>
      </w:r>
      <w:r>
        <w:rPr>
          <w:spacing w:val="1"/>
        </w:rPr>
        <w:t xml:space="preserve"> </w:t>
      </w:r>
      <w:r>
        <w:t>la</w:t>
      </w:r>
      <w:r>
        <w:rPr>
          <w:spacing w:val="3"/>
        </w:rPr>
        <w:t xml:space="preserve"> </w:t>
      </w:r>
      <w:r>
        <w:t>prononciation</w:t>
      </w:r>
      <w:r>
        <w:rPr>
          <w:spacing w:val="3"/>
        </w:rPr>
        <w:t xml:space="preserve"> </w:t>
      </w:r>
      <w:r>
        <w:t>des</w:t>
      </w:r>
      <w:r>
        <w:rPr>
          <w:spacing w:val="3"/>
        </w:rPr>
        <w:t xml:space="preserve"> </w:t>
      </w:r>
      <w:r>
        <w:t>signes</w:t>
      </w:r>
      <w:r>
        <w:rPr>
          <w:spacing w:val="2"/>
        </w:rPr>
        <w:t xml:space="preserve"> </w:t>
      </w:r>
      <w:r>
        <w:t>coïncide</w:t>
      </w:r>
      <w:r>
        <w:rPr>
          <w:spacing w:val="3"/>
        </w:rPr>
        <w:t xml:space="preserve"> </w:t>
      </w:r>
      <w:r>
        <w:t>par</w:t>
      </w:r>
      <w:r>
        <w:rPr>
          <w:spacing w:val="3"/>
        </w:rPr>
        <w:t xml:space="preserve"> </w:t>
      </w:r>
      <w:r>
        <w:t>le</w:t>
      </w:r>
      <w:r>
        <w:rPr>
          <w:spacing w:val="1"/>
        </w:rPr>
        <w:t xml:space="preserve"> </w:t>
      </w:r>
      <w:r>
        <w:t>son</w:t>
      </w:r>
      <w:r>
        <w:rPr>
          <w:spacing w:val="-3"/>
        </w:rPr>
        <w:t xml:space="preserve"> </w:t>
      </w:r>
      <w:r>
        <w:t>des</w:t>
      </w:r>
      <w:r>
        <w:rPr>
          <w:spacing w:val="4"/>
        </w:rPr>
        <w:t xml:space="preserve"> </w:t>
      </w:r>
      <w:r>
        <w:t>lettres BERL</w:t>
      </w:r>
      <w:r>
        <w:rPr>
          <w:spacing w:val="1"/>
        </w:rPr>
        <w:t xml:space="preserve"> </w:t>
      </w:r>
      <w:r>
        <w:rPr>
          <w:spacing w:val="-10"/>
        </w:rPr>
        <w:t>*</w:t>
      </w:r>
    </w:p>
    <w:p w14:paraId="61870B31" w14:textId="77777777" w:rsidR="002B3448" w:rsidRDefault="00000000">
      <w:pPr>
        <w:pStyle w:val="Corpsdetexte"/>
        <w:spacing w:line="252" w:lineRule="exact"/>
        <w:ind w:left="165"/>
        <w:jc w:val="both"/>
      </w:pPr>
      <w:r>
        <w:t>*</w:t>
      </w:r>
      <w:r>
        <w:rPr>
          <w:spacing w:val="20"/>
        </w:rPr>
        <w:t xml:space="preserve"> </w:t>
      </w:r>
      <w:r>
        <w:t>I».</w:t>
      </w:r>
      <w:r>
        <w:rPr>
          <w:spacing w:val="23"/>
        </w:rPr>
        <w:t xml:space="preserve"> </w:t>
      </w:r>
      <w:r>
        <w:t>La</w:t>
      </w:r>
      <w:r>
        <w:rPr>
          <w:spacing w:val="22"/>
        </w:rPr>
        <w:t xml:space="preserve"> </w:t>
      </w:r>
      <w:r>
        <w:t>prononciation</w:t>
      </w:r>
      <w:r>
        <w:rPr>
          <w:spacing w:val="24"/>
        </w:rPr>
        <w:t xml:space="preserve"> </w:t>
      </w:r>
      <w:r>
        <w:t>diffère</w:t>
      </w:r>
      <w:r>
        <w:rPr>
          <w:spacing w:val="25"/>
        </w:rPr>
        <w:t xml:space="preserve"> </w:t>
      </w:r>
      <w:r>
        <w:t>par</w:t>
      </w:r>
      <w:r>
        <w:rPr>
          <w:spacing w:val="23"/>
        </w:rPr>
        <w:t xml:space="preserve"> </w:t>
      </w:r>
      <w:r>
        <w:t>le</w:t>
      </w:r>
      <w:r>
        <w:rPr>
          <w:spacing w:val="24"/>
        </w:rPr>
        <w:t xml:space="preserve"> </w:t>
      </w:r>
      <w:r>
        <w:t>son</w:t>
      </w:r>
      <w:r>
        <w:rPr>
          <w:spacing w:val="22"/>
        </w:rPr>
        <w:t xml:space="preserve"> </w:t>
      </w:r>
      <w:r>
        <w:t>de</w:t>
      </w:r>
      <w:r>
        <w:rPr>
          <w:spacing w:val="25"/>
        </w:rPr>
        <w:t xml:space="preserve"> </w:t>
      </w:r>
      <w:r>
        <w:t>leurs</w:t>
      </w:r>
      <w:r>
        <w:rPr>
          <w:spacing w:val="23"/>
        </w:rPr>
        <w:t xml:space="preserve"> </w:t>
      </w:r>
      <w:r>
        <w:t>cinquième</w:t>
      </w:r>
      <w:r>
        <w:rPr>
          <w:spacing w:val="22"/>
        </w:rPr>
        <w:t xml:space="preserve"> </w:t>
      </w:r>
      <w:r>
        <w:t>et</w:t>
      </w:r>
      <w:r>
        <w:rPr>
          <w:spacing w:val="24"/>
        </w:rPr>
        <w:t xml:space="preserve"> </w:t>
      </w:r>
      <w:r>
        <w:t>sixième</w:t>
      </w:r>
      <w:r>
        <w:rPr>
          <w:spacing w:val="25"/>
        </w:rPr>
        <w:t xml:space="preserve"> </w:t>
      </w:r>
      <w:r>
        <w:t>lettres</w:t>
      </w:r>
      <w:r>
        <w:rPr>
          <w:spacing w:val="22"/>
        </w:rPr>
        <w:t xml:space="preserve"> </w:t>
      </w:r>
      <w:r>
        <w:rPr>
          <w:spacing w:val="-2"/>
        </w:rPr>
        <w:t>respectives,</w:t>
      </w:r>
    </w:p>
    <w:p w14:paraId="14C53716" w14:textId="77777777" w:rsidR="002B3448" w:rsidRDefault="00000000">
      <w:pPr>
        <w:pStyle w:val="Corpsdetexte"/>
        <w:spacing w:before="1"/>
        <w:ind w:left="165" w:right="158"/>
        <w:jc w:val="both"/>
      </w:pPr>
      <w:r>
        <w:t>«UT» contre «IS». Néanmoins, ces éléments verbaux sont composés du même nombre de syllabes (trois) et ont également le même rythme et la même intonation. En ce qui concerne le nombre</w:t>
      </w:r>
      <w:r>
        <w:rPr>
          <w:spacing w:val="-1"/>
        </w:rPr>
        <w:t xml:space="preserve"> </w:t>
      </w:r>
      <w:r>
        <w:t>«1895» et l’élément</w:t>
      </w:r>
      <w:r>
        <w:rPr>
          <w:spacing w:val="-1"/>
        </w:rPr>
        <w:t xml:space="preserve"> </w:t>
      </w:r>
      <w:r>
        <w:t>«PARIS» de</w:t>
      </w:r>
      <w:r>
        <w:rPr>
          <w:spacing w:val="-2"/>
        </w:rPr>
        <w:t xml:space="preserve"> </w:t>
      </w:r>
      <w:r>
        <w:t>la marque antérieure</w:t>
      </w:r>
      <w:r>
        <w:rPr>
          <w:spacing w:val="-1"/>
        </w:rPr>
        <w:t xml:space="preserve"> </w:t>
      </w:r>
      <w:r>
        <w:t>2,</w:t>
      </w:r>
      <w:r>
        <w:rPr>
          <w:spacing w:val="-1"/>
        </w:rPr>
        <w:t xml:space="preserve"> </w:t>
      </w:r>
      <w:r>
        <w:t>il est</w:t>
      </w:r>
      <w:r>
        <w:rPr>
          <w:spacing w:val="-3"/>
        </w:rPr>
        <w:t xml:space="preserve"> </w:t>
      </w:r>
      <w:r>
        <w:t>peu probable qu</w:t>
      </w:r>
      <w:r>
        <w:rPr>
          <w:rFonts w:ascii="Cambria Math" w:hAnsi="Cambria Math"/>
        </w:rPr>
        <w:t>’</w:t>
      </w:r>
      <w:r>
        <w:t>ils soient prononc</w:t>
      </w:r>
      <w:r>
        <w:rPr>
          <w:rFonts w:ascii="Cambria Math" w:hAnsi="Cambria Math"/>
        </w:rPr>
        <w:t>é</w:t>
      </w:r>
      <w:r>
        <w:t xml:space="preserve">s, </w:t>
      </w:r>
      <w:r>
        <w:rPr>
          <w:rFonts w:ascii="Cambria Math" w:hAnsi="Cambria Math"/>
        </w:rPr>
        <w:t>é</w:t>
      </w:r>
      <w:r>
        <w:t>tant donn</w:t>
      </w:r>
      <w:r>
        <w:rPr>
          <w:rFonts w:ascii="Cambria Math" w:hAnsi="Cambria Math"/>
        </w:rPr>
        <w:t xml:space="preserve">é </w:t>
      </w:r>
      <w:r>
        <w:t>que les consommateurs n</w:t>
      </w:r>
      <w:r>
        <w:rPr>
          <w:rFonts w:ascii="Cambria Math" w:hAnsi="Cambria Math"/>
        </w:rPr>
        <w:t>’</w:t>
      </w:r>
      <w:r>
        <w:t xml:space="preserve">ont pas tendance </w:t>
      </w:r>
      <w:r>
        <w:rPr>
          <w:rFonts w:ascii="Cambria Math" w:hAnsi="Cambria Math"/>
        </w:rPr>
        <w:t xml:space="preserve">à </w:t>
      </w:r>
      <w:r>
        <w:t xml:space="preserve">prononcer des </w:t>
      </w:r>
      <w:r>
        <w:rPr>
          <w:rFonts w:ascii="Cambria Math" w:hAnsi="Cambria Math"/>
        </w:rPr>
        <w:t>é</w:t>
      </w:r>
      <w:r>
        <w:t>l</w:t>
      </w:r>
      <w:r>
        <w:rPr>
          <w:rFonts w:ascii="Cambria Math" w:hAnsi="Cambria Math"/>
        </w:rPr>
        <w:t>é</w:t>
      </w:r>
      <w:r>
        <w:t xml:space="preserve">ments verbaux non distinctifs (30/11/2011, T-477/10, SE </w:t>
      </w:r>
      <w:r>
        <w:rPr>
          <w:rFonts w:ascii="Cambria Math" w:hAnsi="Cambria Math"/>
        </w:rPr>
        <w:t xml:space="preserve">© </w:t>
      </w:r>
      <w:r>
        <w:t>Sports Equipment, EU:T:2011:707,</w:t>
      </w:r>
      <w:r>
        <w:rPr>
          <w:spacing w:val="70"/>
          <w:w w:val="150"/>
        </w:rPr>
        <w:t xml:space="preserve"> </w:t>
      </w:r>
      <w:r>
        <w:rPr>
          <w:rFonts w:ascii="Cambria Math" w:hAnsi="Cambria Math"/>
        </w:rPr>
        <w:t>§</w:t>
      </w:r>
      <w:r>
        <w:rPr>
          <w:rFonts w:ascii="Cambria Math" w:hAnsi="Cambria Math"/>
          <w:spacing w:val="32"/>
        </w:rPr>
        <w:t xml:space="preserve">  </w:t>
      </w:r>
      <w:r>
        <w:t>55;</w:t>
      </w:r>
      <w:r>
        <w:rPr>
          <w:spacing w:val="72"/>
          <w:w w:val="150"/>
        </w:rPr>
        <w:t xml:space="preserve"> </w:t>
      </w:r>
      <w:r>
        <w:t>04/02/2013,</w:t>
      </w:r>
      <w:r>
        <w:rPr>
          <w:spacing w:val="69"/>
          <w:w w:val="150"/>
        </w:rPr>
        <w:t xml:space="preserve"> </w:t>
      </w:r>
      <w:r>
        <w:t>T-159/11,</w:t>
      </w:r>
      <w:r>
        <w:rPr>
          <w:spacing w:val="66"/>
          <w:w w:val="150"/>
        </w:rPr>
        <w:t xml:space="preserve"> </w:t>
      </w:r>
      <w:r>
        <w:t>WALICHNOWY</w:t>
      </w:r>
      <w:r>
        <w:rPr>
          <w:spacing w:val="69"/>
          <w:w w:val="150"/>
        </w:rPr>
        <w:t xml:space="preserve"> </w:t>
      </w:r>
      <w:r>
        <w:t>MARKO</w:t>
      </w:r>
      <w:r>
        <w:rPr>
          <w:spacing w:val="71"/>
          <w:w w:val="150"/>
        </w:rPr>
        <w:t xml:space="preserve"> </w:t>
      </w:r>
      <w:r>
        <w:t>(fig.)/MAR-</w:t>
      </w:r>
      <w:r>
        <w:rPr>
          <w:spacing w:val="-5"/>
        </w:rPr>
        <w:t>KO,</w:t>
      </w:r>
    </w:p>
    <w:p w14:paraId="6CDF0A20" w14:textId="77777777" w:rsidR="002B3448" w:rsidRDefault="00000000">
      <w:pPr>
        <w:pStyle w:val="Corpsdetexte"/>
        <w:ind w:left="165" w:right="156"/>
        <w:jc w:val="both"/>
      </w:pPr>
      <w:r>
        <w:t xml:space="preserve">EU:T:2013:56, </w:t>
      </w:r>
      <w:r>
        <w:rPr>
          <w:rFonts w:ascii="Cambria Math" w:hAnsi="Cambria Math"/>
        </w:rPr>
        <w:t>§</w:t>
      </w:r>
      <w:r>
        <w:rPr>
          <w:rFonts w:ascii="Cambria Math" w:hAnsi="Cambria Math"/>
          <w:spacing w:val="40"/>
        </w:rPr>
        <w:t xml:space="preserve"> </w:t>
      </w:r>
      <w:r>
        <w:t>44). De m</w:t>
      </w:r>
      <w:r>
        <w:rPr>
          <w:rFonts w:ascii="Cambria Math" w:hAnsi="Cambria Math"/>
        </w:rPr>
        <w:t>ê</w:t>
      </w:r>
      <w:r>
        <w:t xml:space="preserve">me, compte tenu de leur petite taille et de leur position secondaire dans le signe, il est peu probable que le nombre </w:t>
      </w:r>
      <w:r>
        <w:rPr>
          <w:rFonts w:ascii="Cambria Math" w:hAnsi="Cambria Math"/>
        </w:rPr>
        <w:t>«</w:t>
      </w:r>
      <w:r>
        <w:t>05</w:t>
      </w:r>
      <w:r>
        <w:rPr>
          <w:rFonts w:ascii="Cambria Math" w:hAnsi="Cambria Math"/>
        </w:rPr>
        <w:t xml:space="preserve">» </w:t>
      </w:r>
      <w:r>
        <w:t>et la s</w:t>
      </w:r>
      <w:r>
        <w:rPr>
          <w:rFonts w:ascii="Cambria Math" w:hAnsi="Cambria Math"/>
        </w:rPr>
        <w:t>é</w:t>
      </w:r>
      <w:r>
        <w:t xml:space="preserve">quence </w:t>
      </w:r>
      <w:r>
        <w:rPr>
          <w:rFonts w:ascii="Cambria Math" w:hAnsi="Cambria Math"/>
        </w:rPr>
        <w:t>«</w:t>
      </w:r>
      <w:r>
        <w:t>91S</w:t>
      </w:r>
      <w:r>
        <w:rPr>
          <w:rFonts w:ascii="Cambria Math" w:hAnsi="Cambria Math"/>
        </w:rPr>
        <w:t xml:space="preserve">» </w:t>
      </w:r>
      <w:r>
        <w:t>du signe contest</w:t>
      </w:r>
      <w:r>
        <w:rPr>
          <w:rFonts w:ascii="Cambria Math" w:hAnsi="Cambria Math"/>
        </w:rPr>
        <w:t xml:space="preserve">é </w:t>
      </w:r>
      <w:r>
        <w:t>soient prononc</w:t>
      </w:r>
      <w:r>
        <w:rPr>
          <w:rFonts w:ascii="Cambria Math" w:hAnsi="Cambria Math"/>
        </w:rPr>
        <w:t>é</w:t>
      </w:r>
      <w:r>
        <w:t>s. La jurisprudence confirme que les consommateurs font g</w:t>
      </w:r>
      <w:r>
        <w:rPr>
          <w:rFonts w:ascii="Cambria Math" w:hAnsi="Cambria Math"/>
        </w:rPr>
        <w:t>é</w:t>
      </w:r>
      <w:r>
        <w:t>n</w:t>
      </w:r>
      <w:r>
        <w:rPr>
          <w:rFonts w:ascii="Cambria Math" w:hAnsi="Cambria Math"/>
        </w:rPr>
        <w:t>é</w:t>
      </w:r>
      <w:r>
        <w:t>ralement r</w:t>
      </w:r>
      <w:r>
        <w:rPr>
          <w:rFonts w:ascii="Cambria Math" w:hAnsi="Cambria Math"/>
        </w:rPr>
        <w:t>é</w:t>
      </w:r>
      <w:r>
        <w:t>f</w:t>
      </w:r>
      <w:r>
        <w:rPr>
          <w:rFonts w:ascii="Cambria Math" w:hAnsi="Cambria Math"/>
        </w:rPr>
        <w:t>é</w:t>
      </w:r>
      <w:r>
        <w:t>rence</w:t>
      </w:r>
      <w:r>
        <w:rPr>
          <w:spacing w:val="-2"/>
        </w:rPr>
        <w:t xml:space="preserve"> </w:t>
      </w:r>
      <w:r>
        <w:t>aux</w:t>
      </w:r>
      <w:r>
        <w:rPr>
          <w:spacing w:val="-1"/>
        </w:rPr>
        <w:t xml:space="preserve"> </w:t>
      </w:r>
      <w:r>
        <w:rPr>
          <w:rFonts w:ascii="Cambria Math" w:hAnsi="Cambria Math"/>
        </w:rPr>
        <w:t>é</w:t>
      </w:r>
      <w:r>
        <w:t>l</w:t>
      </w:r>
      <w:r>
        <w:rPr>
          <w:rFonts w:ascii="Cambria Math" w:hAnsi="Cambria Math"/>
        </w:rPr>
        <w:t>é</w:t>
      </w:r>
      <w:r>
        <w:t>ments</w:t>
      </w:r>
      <w:r>
        <w:rPr>
          <w:spacing w:val="-2"/>
        </w:rPr>
        <w:t xml:space="preserve"> </w:t>
      </w:r>
      <w:r>
        <w:t>dominants, tandis</w:t>
      </w:r>
      <w:r>
        <w:rPr>
          <w:spacing w:val="-1"/>
        </w:rPr>
        <w:t xml:space="preserve"> </w:t>
      </w:r>
      <w:r>
        <w:t>que</w:t>
      </w:r>
      <w:r>
        <w:rPr>
          <w:spacing w:val="-2"/>
        </w:rPr>
        <w:t xml:space="preserve"> </w:t>
      </w:r>
      <w:r>
        <w:t xml:space="preserve">les </w:t>
      </w:r>
      <w:r>
        <w:rPr>
          <w:rFonts w:ascii="Cambria Math" w:hAnsi="Cambria Math"/>
        </w:rPr>
        <w:t>é</w:t>
      </w:r>
      <w:r>
        <w:t>l</w:t>
      </w:r>
      <w:r>
        <w:rPr>
          <w:rFonts w:ascii="Cambria Math" w:hAnsi="Cambria Math"/>
        </w:rPr>
        <w:t>é</w:t>
      </w:r>
      <w:r>
        <w:t>ments</w:t>
      </w:r>
      <w:r>
        <w:rPr>
          <w:spacing w:val="-4"/>
        </w:rPr>
        <w:t xml:space="preserve"> </w:t>
      </w:r>
      <w:r>
        <w:t>moins pro</w:t>
      </w:r>
      <w:r>
        <w:rPr>
          <w:rFonts w:ascii="Cambria Math" w:hAnsi="Cambria Math"/>
        </w:rPr>
        <w:t>é</w:t>
      </w:r>
      <w:r>
        <w:t>minents ne sont pas prononc</w:t>
      </w:r>
      <w:r>
        <w:rPr>
          <w:rFonts w:ascii="Cambria Math" w:hAnsi="Cambria Math"/>
        </w:rPr>
        <w:t>é</w:t>
      </w:r>
      <w:r>
        <w:t>s [03/07/2013,</w:t>
      </w:r>
      <w:r>
        <w:rPr>
          <w:spacing w:val="-1"/>
        </w:rPr>
        <w:t xml:space="preserve"> </w:t>
      </w:r>
      <w:r>
        <w:t>T-206/12, LIBERTE american</w:t>
      </w:r>
      <w:r>
        <w:rPr>
          <w:spacing w:val="-1"/>
        </w:rPr>
        <w:t xml:space="preserve"> </w:t>
      </w:r>
      <w:r>
        <w:t>blend (fig.)/La</w:t>
      </w:r>
      <w:r>
        <w:rPr>
          <w:spacing w:val="-1"/>
        </w:rPr>
        <w:t xml:space="preserve"> </w:t>
      </w:r>
      <w:r>
        <w:t xml:space="preserve">LIBERTAD et al., EU:T:2013:342, </w:t>
      </w:r>
      <w:r>
        <w:rPr>
          <w:rFonts w:ascii="Cambria Math" w:hAnsi="Cambria Math"/>
        </w:rPr>
        <w:t xml:space="preserve">§ </w:t>
      </w:r>
      <w:r>
        <w:t xml:space="preserve">43-44] et, en tout </w:t>
      </w:r>
      <w:r>
        <w:rPr>
          <w:rFonts w:ascii="Cambria Math" w:hAnsi="Cambria Math"/>
        </w:rPr>
        <w:t>é</w:t>
      </w:r>
      <w:r>
        <w:t xml:space="preserve">tat de cause, les consommateurs ont tendance </w:t>
      </w:r>
      <w:r>
        <w:rPr>
          <w:rFonts w:ascii="Cambria Math" w:hAnsi="Cambria Math"/>
        </w:rPr>
        <w:t xml:space="preserve">à </w:t>
      </w:r>
      <w:r>
        <w:t>abr</w:t>
      </w:r>
      <w:r>
        <w:rPr>
          <w:rFonts w:ascii="Cambria Math" w:hAnsi="Cambria Math"/>
        </w:rPr>
        <w:t>é</w:t>
      </w:r>
      <w:r>
        <w:t>ger les marques contenant plusieurs mots. Par cons</w:t>
      </w:r>
      <w:r>
        <w:rPr>
          <w:rFonts w:ascii="Cambria Math" w:hAnsi="Cambria Math"/>
        </w:rPr>
        <w:t>é</w:t>
      </w:r>
      <w:r>
        <w:t>quent, les signes en conflit pr</w:t>
      </w:r>
      <w:r>
        <w:rPr>
          <w:rFonts w:ascii="Cambria Math" w:hAnsi="Cambria Math"/>
        </w:rPr>
        <w:t>é</w:t>
      </w:r>
      <w:r>
        <w:t>sentent un</w:t>
      </w:r>
      <w:r>
        <w:rPr>
          <w:u w:val="single"/>
        </w:rPr>
        <w:t xml:space="preserve">degré de similitude phonétique </w:t>
      </w:r>
      <w:r>
        <w:t>sup</w:t>
      </w:r>
      <w:r>
        <w:rPr>
          <w:rFonts w:ascii="Cambria Math" w:hAnsi="Cambria Math"/>
        </w:rPr>
        <w:t>é</w:t>
      </w:r>
      <w:r>
        <w:t xml:space="preserve">rieur </w:t>
      </w:r>
      <w:r>
        <w:rPr>
          <w:rFonts w:ascii="Cambria Math" w:hAnsi="Cambria Math"/>
        </w:rPr>
        <w:t xml:space="preserve">à </w:t>
      </w:r>
      <w:r>
        <w:t>la moyenne.</w:t>
      </w:r>
    </w:p>
    <w:p w14:paraId="4394643D" w14:textId="77777777" w:rsidR="002B3448" w:rsidRDefault="002B3448">
      <w:pPr>
        <w:pStyle w:val="Corpsdetexte"/>
        <w:spacing w:before="1"/>
      </w:pPr>
    </w:p>
    <w:p w14:paraId="2ED64051" w14:textId="77777777" w:rsidR="002B3448" w:rsidRDefault="00000000">
      <w:pPr>
        <w:pStyle w:val="Corpsdetexte"/>
        <w:ind w:left="165" w:right="159"/>
        <w:jc w:val="both"/>
      </w:pPr>
      <w:r>
        <w:rPr>
          <w:rFonts w:ascii="Arial" w:hAnsi="Arial"/>
          <w:b/>
        </w:rPr>
        <w:t>Sur le plan conceptuel</w:t>
      </w:r>
      <w:r>
        <w:t>, référence est faite aux affirmations précédentes concernant le contenu sémantique véhiculé par les marques. Comme indiqué ci-dessus, les éléments verbaux</w:t>
      </w:r>
      <w:r>
        <w:rPr>
          <w:spacing w:val="2"/>
        </w:rPr>
        <w:t xml:space="preserve"> </w:t>
      </w:r>
      <w:r>
        <w:t>«BERLUTI»</w:t>
      </w:r>
      <w:r>
        <w:rPr>
          <w:spacing w:val="6"/>
        </w:rPr>
        <w:t xml:space="preserve"> </w:t>
      </w:r>
      <w:r>
        <w:t>et</w:t>
      </w:r>
      <w:r>
        <w:rPr>
          <w:spacing w:val="4"/>
        </w:rPr>
        <w:t xml:space="preserve"> </w:t>
      </w:r>
      <w:r>
        <w:t>«BERLISI»</w:t>
      </w:r>
      <w:r>
        <w:rPr>
          <w:spacing w:val="6"/>
        </w:rPr>
        <w:t xml:space="preserve"> </w:t>
      </w:r>
      <w:r>
        <w:t>des</w:t>
      </w:r>
      <w:r>
        <w:rPr>
          <w:spacing w:val="4"/>
        </w:rPr>
        <w:t xml:space="preserve"> </w:t>
      </w:r>
      <w:r>
        <w:t>signes</w:t>
      </w:r>
      <w:r>
        <w:rPr>
          <w:spacing w:val="3"/>
        </w:rPr>
        <w:t xml:space="preserve"> </w:t>
      </w:r>
      <w:r>
        <w:t>sont</w:t>
      </w:r>
      <w:r>
        <w:rPr>
          <w:spacing w:val="7"/>
        </w:rPr>
        <w:t xml:space="preserve"> </w:t>
      </w:r>
      <w:r>
        <w:t>susceptibles</w:t>
      </w:r>
      <w:r>
        <w:rPr>
          <w:spacing w:val="2"/>
        </w:rPr>
        <w:t xml:space="preserve"> </w:t>
      </w:r>
      <w:r>
        <w:t>d’être</w:t>
      </w:r>
      <w:r>
        <w:rPr>
          <w:spacing w:val="3"/>
        </w:rPr>
        <w:t xml:space="preserve"> </w:t>
      </w:r>
      <w:r>
        <w:t>perçus</w:t>
      </w:r>
      <w:r>
        <w:rPr>
          <w:spacing w:val="4"/>
        </w:rPr>
        <w:t xml:space="preserve"> </w:t>
      </w:r>
      <w:r>
        <w:t>comme</w:t>
      </w:r>
      <w:r>
        <w:rPr>
          <w:spacing w:val="3"/>
        </w:rPr>
        <w:t xml:space="preserve"> </w:t>
      </w:r>
      <w:r>
        <w:rPr>
          <w:spacing w:val="-4"/>
        </w:rPr>
        <w:t>deux</w:t>
      </w:r>
    </w:p>
    <w:p w14:paraId="6C6E3A31" w14:textId="77777777" w:rsidR="002B3448" w:rsidRDefault="002B3448">
      <w:pPr>
        <w:pStyle w:val="Corpsdetexte"/>
        <w:jc w:val="both"/>
        <w:sectPr w:rsidR="002B3448">
          <w:pgSz w:w="11910" w:h="16840"/>
          <w:pgMar w:top="1000" w:right="1275" w:bottom="280" w:left="1275" w:header="727" w:footer="0" w:gutter="0"/>
          <w:cols w:space="720"/>
        </w:sectPr>
      </w:pPr>
    </w:p>
    <w:p w14:paraId="5BBB50AD" w14:textId="77777777" w:rsidR="002B3448" w:rsidRDefault="00000000">
      <w:pPr>
        <w:pStyle w:val="Corpsdetexte"/>
        <w:spacing w:before="181"/>
      </w:pPr>
      <w:r>
        <w:rPr>
          <w:noProof/>
        </w:rPr>
        <w:lastRenderedPageBreak/>
        <mc:AlternateContent>
          <mc:Choice Requires="wps">
            <w:drawing>
              <wp:anchor distT="0" distB="0" distL="0" distR="0" simplePos="0" relativeHeight="15733760" behindDoc="0" locked="0" layoutInCell="1" allowOverlap="1" wp14:anchorId="6FD69A03" wp14:editId="16DF4D9E">
                <wp:simplePos x="0" y="0"/>
                <wp:positionH relativeFrom="page">
                  <wp:posOffset>270575</wp:posOffset>
                </wp:positionH>
                <wp:positionV relativeFrom="page">
                  <wp:posOffset>1114363</wp:posOffset>
                </wp:positionV>
                <wp:extent cx="146050" cy="9210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0F94ABC"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760" type="#_x0000_t202" id="docshape1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3C12E5D3" w14:textId="77777777" w:rsidR="002B3448" w:rsidRDefault="00000000">
      <w:pPr>
        <w:pStyle w:val="Corpsdetexte"/>
        <w:spacing w:line="253" w:lineRule="exact"/>
        <w:ind w:left="165"/>
        <w:jc w:val="both"/>
      </w:pPr>
      <w:r>
        <w:t>noms</w:t>
      </w:r>
      <w:r>
        <w:rPr>
          <w:spacing w:val="-5"/>
        </w:rPr>
        <w:t xml:space="preserve"> </w:t>
      </w:r>
      <w:r>
        <w:t>de</w:t>
      </w:r>
      <w:r>
        <w:rPr>
          <w:spacing w:val="-6"/>
        </w:rPr>
        <w:t xml:space="preserve"> </w:t>
      </w:r>
      <w:r>
        <w:t>famille.</w:t>
      </w:r>
      <w:r>
        <w:rPr>
          <w:spacing w:val="-3"/>
        </w:rPr>
        <w:t xml:space="preserve"> </w:t>
      </w:r>
      <w:r>
        <w:t>En</w:t>
      </w:r>
      <w:r>
        <w:rPr>
          <w:spacing w:val="-4"/>
        </w:rPr>
        <w:t xml:space="preserve"> </w:t>
      </w:r>
      <w:r>
        <w:t>outre,</w:t>
      </w:r>
      <w:r>
        <w:rPr>
          <w:spacing w:val="-2"/>
        </w:rPr>
        <w:t xml:space="preserve"> </w:t>
      </w:r>
      <w:r>
        <w:t>le</w:t>
      </w:r>
      <w:r>
        <w:rPr>
          <w:spacing w:val="-4"/>
        </w:rPr>
        <w:t xml:space="preserve"> </w:t>
      </w:r>
      <w:r>
        <w:t>signe</w:t>
      </w:r>
      <w:r>
        <w:rPr>
          <w:spacing w:val="-6"/>
        </w:rPr>
        <w:t xml:space="preserve"> </w:t>
      </w:r>
      <w:r>
        <w:t>contesté</w:t>
      </w:r>
      <w:r>
        <w:rPr>
          <w:spacing w:val="-4"/>
        </w:rPr>
        <w:t xml:space="preserve"> </w:t>
      </w:r>
      <w:r>
        <w:t>inclut</w:t>
      </w:r>
      <w:r>
        <w:rPr>
          <w:spacing w:val="-2"/>
        </w:rPr>
        <w:t xml:space="preserve"> </w:t>
      </w:r>
      <w:r>
        <w:t>également</w:t>
      </w:r>
      <w:r>
        <w:rPr>
          <w:spacing w:val="-1"/>
        </w:rPr>
        <w:t xml:space="preserve"> </w:t>
      </w:r>
      <w:r>
        <w:t>le</w:t>
      </w:r>
      <w:r>
        <w:rPr>
          <w:spacing w:val="-4"/>
        </w:rPr>
        <w:t xml:space="preserve"> </w:t>
      </w:r>
      <w:r>
        <w:t>nombre</w:t>
      </w:r>
      <w:r>
        <w:rPr>
          <w:spacing w:val="-4"/>
        </w:rPr>
        <w:t xml:space="preserve"> </w:t>
      </w:r>
      <w:r>
        <w:t>«05»</w:t>
      </w:r>
      <w:r>
        <w:rPr>
          <w:spacing w:val="-4"/>
        </w:rPr>
        <w:t xml:space="preserve"> </w:t>
      </w:r>
      <w:r>
        <w:t>et</w:t>
      </w:r>
      <w:r>
        <w:rPr>
          <w:spacing w:val="-2"/>
        </w:rPr>
        <w:t xml:space="preserve"> </w:t>
      </w:r>
      <w:r>
        <w:t>la</w:t>
      </w:r>
      <w:r>
        <w:rPr>
          <w:spacing w:val="-3"/>
        </w:rPr>
        <w:t xml:space="preserve"> </w:t>
      </w:r>
      <w:r>
        <w:rPr>
          <w:spacing w:val="-2"/>
        </w:rPr>
        <w:t>séquence</w:t>
      </w:r>
    </w:p>
    <w:p w14:paraId="3C07957C" w14:textId="77777777" w:rsidR="002B3448" w:rsidRDefault="00000000">
      <w:pPr>
        <w:pStyle w:val="Corpsdetexte"/>
        <w:ind w:left="165" w:right="164"/>
        <w:jc w:val="both"/>
      </w:pPr>
      <w:r>
        <w:t>«91S», qui occupent toutefois une position secondaire dans le signe. Par conséquent, et compte</w:t>
      </w:r>
      <w:r>
        <w:rPr>
          <w:spacing w:val="-2"/>
        </w:rPr>
        <w:t xml:space="preserve"> </w:t>
      </w:r>
      <w:r>
        <w:t xml:space="preserve">tenu également du fait que la marque antérieure 2) véhicule les concepts de l’année et de la localisation de l’entreprise, qui n’ont toutefois qu’un caractère distinctif faible, voire nul, les signes ne sont </w:t>
      </w:r>
      <w:r>
        <w:rPr>
          <w:u w:val="single"/>
        </w:rPr>
        <w:t>pas similaires sur le plan conceptuel</w:t>
      </w:r>
      <w:r>
        <w:t>.</w:t>
      </w:r>
    </w:p>
    <w:p w14:paraId="09FE9AFB" w14:textId="77777777" w:rsidR="002B3448" w:rsidRDefault="002B3448">
      <w:pPr>
        <w:pStyle w:val="Corpsdetexte"/>
      </w:pPr>
    </w:p>
    <w:p w14:paraId="078C3600" w14:textId="77777777" w:rsidR="002B3448" w:rsidRDefault="002B3448">
      <w:pPr>
        <w:pStyle w:val="Corpsdetexte"/>
        <w:spacing w:before="1"/>
      </w:pPr>
    </w:p>
    <w:p w14:paraId="290054ED" w14:textId="77777777" w:rsidR="002B3448" w:rsidRDefault="00000000">
      <w:pPr>
        <w:pStyle w:val="Titre1"/>
        <w:numPr>
          <w:ilvl w:val="0"/>
          <w:numId w:val="1"/>
        </w:numPr>
        <w:tabs>
          <w:tab w:val="left" w:pos="435"/>
        </w:tabs>
        <w:ind w:left="435" w:hanging="270"/>
      </w:pPr>
      <w:r>
        <w:t>Caractère</w:t>
      </w:r>
      <w:r>
        <w:rPr>
          <w:spacing w:val="-9"/>
        </w:rPr>
        <w:t xml:space="preserve"> </w:t>
      </w:r>
      <w:r>
        <w:t>distinctif</w:t>
      </w:r>
      <w:r>
        <w:rPr>
          <w:spacing w:val="-8"/>
        </w:rPr>
        <w:t xml:space="preserve"> </w:t>
      </w:r>
      <w:r>
        <w:t>des</w:t>
      </w:r>
      <w:r>
        <w:rPr>
          <w:spacing w:val="-7"/>
        </w:rPr>
        <w:t xml:space="preserve"> </w:t>
      </w:r>
      <w:r>
        <w:t>marques</w:t>
      </w:r>
      <w:r>
        <w:rPr>
          <w:spacing w:val="-8"/>
        </w:rPr>
        <w:t xml:space="preserve"> </w:t>
      </w:r>
      <w:r>
        <w:rPr>
          <w:spacing w:val="-2"/>
        </w:rPr>
        <w:t>antérieures</w:t>
      </w:r>
    </w:p>
    <w:p w14:paraId="0CC6C10C" w14:textId="77777777" w:rsidR="002B3448" w:rsidRDefault="002B3448">
      <w:pPr>
        <w:pStyle w:val="Corpsdetexte"/>
        <w:rPr>
          <w:rFonts w:ascii="Arial"/>
          <w:b/>
        </w:rPr>
      </w:pPr>
    </w:p>
    <w:p w14:paraId="3FE89EA2" w14:textId="77777777" w:rsidR="002B3448" w:rsidRDefault="00000000">
      <w:pPr>
        <w:pStyle w:val="Corpsdetexte"/>
        <w:spacing w:before="1"/>
        <w:ind w:left="165" w:right="165"/>
        <w:jc w:val="both"/>
      </w:pPr>
      <w:r>
        <w:t>Le caractère distinctif de la marque antérieure est l’un des facteurs qu’il y a lieu de prendre en considération dans l’appréciation globale du risque de confusion.</w:t>
      </w:r>
    </w:p>
    <w:p w14:paraId="5A1A8C4F" w14:textId="77777777" w:rsidR="002B3448" w:rsidRDefault="00000000">
      <w:pPr>
        <w:pStyle w:val="Corpsdetexte"/>
        <w:spacing w:before="252"/>
        <w:ind w:left="165" w:right="161"/>
        <w:jc w:val="both"/>
      </w:pPr>
      <w:r>
        <w:t>L’opposante a fait valoir que les marques antérieures «jouissent d’une renommée depuis de nombreuses années» et que «le risque de confusion est accru en raison du fait qu’elle est une société de luxe de mode, avec une exposition internationale». Parsouci d’exhaustivité,</w:t>
      </w:r>
      <w:r>
        <w:rPr>
          <w:spacing w:val="40"/>
        </w:rPr>
        <w:t xml:space="preserve"> </w:t>
      </w:r>
      <w:r>
        <w:t>la division d’opposition souligne que, si l’intention de l’opposante était de revendiquer le caractère distinctif accru des marques antérieures, cette allégation n’est pas pertinente en l’espèce et, en</w:t>
      </w:r>
      <w:r>
        <w:rPr>
          <w:spacing w:val="-2"/>
        </w:rPr>
        <w:t xml:space="preserve"> </w:t>
      </w:r>
      <w:r>
        <w:t>tout état de cause,</w:t>
      </w:r>
      <w:r>
        <w:rPr>
          <w:spacing w:val="-1"/>
        </w:rPr>
        <w:t xml:space="preserve"> </w:t>
      </w:r>
      <w:r>
        <w:t>l’opposante n’a produit aucun élément</w:t>
      </w:r>
      <w:r>
        <w:rPr>
          <w:spacing w:val="-3"/>
        </w:rPr>
        <w:t xml:space="preserve"> </w:t>
      </w:r>
      <w:r>
        <w:t>de preuve à l’appui d’une telle allégation.</w:t>
      </w:r>
    </w:p>
    <w:p w14:paraId="47859C46" w14:textId="77777777" w:rsidR="002B3448" w:rsidRDefault="002B3448">
      <w:pPr>
        <w:pStyle w:val="Corpsdetexte"/>
      </w:pPr>
    </w:p>
    <w:p w14:paraId="6BC900A5" w14:textId="77777777" w:rsidR="002B3448" w:rsidRDefault="00000000">
      <w:pPr>
        <w:pStyle w:val="Corpsdetexte"/>
        <w:ind w:left="165" w:right="162"/>
        <w:jc w:val="both"/>
      </w:pPr>
      <w:r>
        <w:t>Par conséquent, l’appréciation du caractère distinctif des marques antérieures reposera sur leur caractère distinctif intrinsèque. En l’espèce, les marques antérieures, considérées chacune dans leur ensemble, n’ont de signification en rapport avec aucun des produits en cause du point de vue du public du territoire pertinent. Dès lors, le caractère distinctif des marques antérieures doit être considéré comme normal, malgré la présence de certains éléments dont le caractère distinctif est faible, voire nul, dans la marque antérieure no 2, comme indiqué ci-dessus à la section c) de la présente décision.</w:t>
      </w:r>
    </w:p>
    <w:p w14:paraId="192AA444" w14:textId="77777777" w:rsidR="002B3448" w:rsidRDefault="00000000">
      <w:pPr>
        <w:pStyle w:val="Titre1"/>
        <w:numPr>
          <w:ilvl w:val="0"/>
          <w:numId w:val="1"/>
        </w:numPr>
        <w:tabs>
          <w:tab w:val="left" w:pos="426"/>
        </w:tabs>
        <w:spacing w:before="252"/>
        <w:ind w:left="426" w:hanging="261"/>
      </w:pPr>
      <w:r>
        <w:t>Appréciation</w:t>
      </w:r>
      <w:r>
        <w:rPr>
          <w:spacing w:val="-8"/>
        </w:rPr>
        <w:t xml:space="preserve"> </w:t>
      </w:r>
      <w:r>
        <w:t>globale,</w:t>
      </w:r>
      <w:r>
        <w:rPr>
          <w:spacing w:val="-5"/>
        </w:rPr>
        <w:t xml:space="preserve"> </w:t>
      </w:r>
      <w:r>
        <w:t>autres</w:t>
      </w:r>
      <w:r>
        <w:rPr>
          <w:spacing w:val="-7"/>
        </w:rPr>
        <w:t xml:space="preserve"> </w:t>
      </w:r>
      <w:r>
        <w:t>arguments</w:t>
      </w:r>
      <w:r>
        <w:rPr>
          <w:spacing w:val="-7"/>
        </w:rPr>
        <w:t xml:space="preserve"> </w:t>
      </w:r>
      <w:r>
        <w:t>et</w:t>
      </w:r>
      <w:r>
        <w:rPr>
          <w:spacing w:val="-6"/>
        </w:rPr>
        <w:t xml:space="preserve"> </w:t>
      </w:r>
      <w:r>
        <w:rPr>
          <w:spacing w:val="-2"/>
        </w:rPr>
        <w:t>conclusion</w:t>
      </w:r>
    </w:p>
    <w:p w14:paraId="13EC94F4" w14:textId="77777777" w:rsidR="002B3448" w:rsidRDefault="002B3448">
      <w:pPr>
        <w:pStyle w:val="Corpsdetexte"/>
        <w:spacing w:before="1"/>
        <w:rPr>
          <w:rFonts w:ascii="Arial"/>
          <w:b/>
        </w:rPr>
      </w:pPr>
    </w:p>
    <w:p w14:paraId="761B1CB8" w14:textId="77777777" w:rsidR="002B3448" w:rsidRDefault="00000000">
      <w:pPr>
        <w:pStyle w:val="Corpsdetexte"/>
        <w:ind w:left="165" w:right="156"/>
        <w:jc w:val="both"/>
      </w:pPr>
      <w:r>
        <w:t>L’appréciation du risque de confusion dans l’esprit du public dépend de nombreux facteurs</w:t>
      </w:r>
      <w:r>
        <w:rPr>
          <w:spacing w:val="40"/>
        </w:rPr>
        <w:t xml:space="preserve"> </w:t>
      </w:r>
      <w:r>
        <w:t>et notamment de la connaissance de la marque antérieure sur le marché, de l’association</w:t>
      </w:r>
      <w:r>
        <w:rPr>
          <w:spacing w:val="40"/>
        </w:rPr>
        <w:t xml:space="preserve"> </w:t>
      </w:r>
      <w:r>
        <w:t>qui</w:t>
      </w:r>
      <w:r>
        <w:rPr>
          <w:spacing w:val="-2"/>
        </w:rPr>
        <w:t xml:space="preserve"> </w:t>
      </w:r>
      <w:r>
        <w:t>peut</w:t>
      </w:r>
      <w:r>
        <w:rPr>
          <w:spacing w:val="-2"/>
        </w:rPr>
        <w:t xml:space="preserve"> </w:t>
      </w:r>
      <w:r>
        <w:t>en</w:t>
      </w:r>
      <w:r>
        <w:rPr>
          <w:spacing w:val="-1"/>
        </w:rPr>
        <w:t xml:space="preserve"> </w:t>
      </w:r>
      <w:r>
        <w:t>être</w:t>
      </w:r>
      <w:r>
        <w:rPr>
          <w:spacing w:val="-3"/>
        </w:rPr>
        <w:t xml:space="preserve"> </w:t>
      </w:r>
      <w:r>
        <w:t>faite</w:t>
      </w:r>
      <w:r>
        <w:rPr>
          <w:spacing w:val="-1"/>
        </w:rPr>
        <w:t xml:space="preserve"> </w:t>
      </w:r>
      <w:r>
        <w:t>avec</w:t>
      </w:r>
      <w:r>
        <w:rPr>
          <w:spacing w:val="-1"/>
        </w:rPr>
        <w:t xml:space="preserve"> </w:t>
      </w:r>
      <w:r>
        <w:t>la</w:t>
      </w:r>
      <w:r>
        <w:rPr>
          <w:spacing w:val="-1"/>
        </w:rPr>
        <w:t xml:space="preserve"> </w:t>
      </w:r>
      <w:r>
        <w:t>marque</w:t>
      </w:r>
      <w:r>
        <w:rPr>
          <w:spacing w:val="-1"/>
        </w:rPr>
        <w:t xml:space="preserve"> </w:t>
      </w:r>
      <w:r>
        <w:t>enregistrée</w:t>
      </w:r>
      <w:r>
        <w:rPr>
          <w:spacing w:val="-3"/>
        </w:rPr>
        <w:t xml:space="preserve"> </w:t>
      </w:r>
      <w:r>
        <w:t>et du</w:t>
      </w:r>
      <w:r>
        <w:rPr>
          <w:spacing w:val="-1"/>
        </w:rPr>
        <w:t xml:space="preserve"> </w:t>
      </w:r>
      <w:r>
        <w:t>degré</w:t>
      </w:r>
      <w:r>
        <w:rPr>
          <w:spacing w:val="-3"/>
        </w:rPr>
        <w:t xml:space="preserve"> </w:t>
      </w:r>
      <w:r>
        <w:t>de</w:t>
      </w:r>
      <w:r>
        <w:rPr>
          <w:spacing w:val="-1"/>
        </w:rPr>
        <w:t xml:space="preserve"> </w:t>
      </w:r>
      <w:r>
        <w:t>similitude</w:t>
      </w:r>
      <w:r>
        <w:rPr>
          <w:spacing w:val="-3"/>
        </w:rPr>
        <w:t xml:space="preserve"> </w:t>
      </w:r>
      <w:r>
        <w:t>entre</w:t>
      </w:r>
      <w:r>
        <w:rPr>
          <w:spacing w:val="-1"/>
        </w:rPr>
        <w:t xml:space="preserve"> </w:t>
      </w:r>
      <w:r>
        <w:t>les</w:t>
      </w:r>
      <w:r>
        <w:rPr>
          <w:spacing w:val="-3"/>
        </w:rPr>
        <w:t xml:space="preserve"> </w:t>
      </w:r>
      <w:r>
        <w:t>marques et entre les produits/services désignés. L’existence d’un risque de confusion doit être appréciée globalement en tenant compte de tous les facteurs pertinents du cas d’espèce (22/06/1999,-342/97, Lloyd Schuhfabrik, EU:C:1999:323, § 18).</w:t>
      </w:r>
    </w:p>
    <w:p w14:paraId="0929B502" w14:textId="77777777" w:rsidR="002B3448" w:rsidRDefault="002B3448">
      <w:pPr>
        <w:pStyle w:val="Corpsdetexte"/>
      </w:pPr>
    </w:p>
    <w:p w14:paraId="2011D270" w14:textId="77777777" w:rsidR="002B3448" w:rsidRDefault="00000000">
      <w:pPr>
        <w:pStyle w:val="Corpsdetexte"/>
        <w:spacing w:before="1"/>
        <w:ind w:left="165" w:right="158"/>
        <w:jc w:val="both"/>
      </w:pPr>
      <w:r>
        <w:t>Les</w:t>
      </w:r>
      <w:r>
        <w:rPr>
          <w:spacing w:val="-1"/>
        </w:rPr>
        <w:t xml:space="preserve"> </w:t>
      </w:r>
      <w:r>
        <w:t>produits</w:t>
      </w:r>
      <w:r>
        <w:rPr>
          <w:spacing w:val="-1"/>
        </w:rPr>
        <w:t xml:space="preserve"> </w:t>
      </w:r>
      <w:r>
        <w:t>et services</w:t>
      </w:r>
      <w:r>
        <w:rPr>
          <w:spacing w:val="-2"/>
        </w:rPr>
        <w:t xml:space="preserve"> </w:t>
      </w:r>
      <w:r>
        <w:t>qui</w:t>
      </w:r>
      <w:r>
        <w:rPr>
          <w:spacing w:val="-3"/>
        </w:rPr>
        <w:t xml:space="preserve"> </w:t>
      </w:r>
      <w:r>
        <w:t>sont identiques</w:t>
      </w:r>
      <w:r>
        <w:rPr>
          <w:spacing w:val="-4"/>
        </w:rPr>
        <w:t xml:space="preserve"> </w:t>
      </w:r>
      <w:r>
        <w:t>et</w:t>
      </w:r>
      <w:r>
        <w:rPr>
          <w:spacing w:val="-3"/>
        </w:rPr>
        <w:t xml:space="preserve"> </w:t>
      </w:r>
      <w:r>
        <w:t>similaires</w:t>
      </w:r>
      <w:r>
        <w:rPr>
          <w:spacing w:val="-2"/>
        </w:rPr>
        <w:t xml:space="preserve"> </w:t>
      </w:r>
      <w:r>
        <w:t>s’adressent au</w:t>
      </w:r>
      <w:r>
        <w:rPr>
          <w:spacing w:val="-7"/>
        </w:rPr>
        <w:t xml:space="preserve"> </w:t>
      </w:r>
      <w:r>
        <w:t>grand</w:t>
      </w:r>
      <w:r>
        <w:rPr>
          <w:spacing w:val="-2"/>
        </w:rPr>
        <w:t xml:space="preserve"> </w:t>
      </w:r>
      <w:r>
        <w:t>public</w:t>
      </w:r>
      <w:r>
        <w:rPr>
          <w:spacing w:val="-1"/>
        </w:rPr>
        <w:t xml:space="preserve"> </w:t>
      </w:r>
      <w:r>
        <w:t>et</w:t>
      </w:r>
      <w:r>
        <w:rPr>
          <w:spacing w:val="-3"/>
        </w:rPr>
        <w:t xml:space="preserve"> </w:t>
      </w:r>
      <w:r>
        <w:t>à</w:t>
      </w:r>
      <w:r>
        <w:rPr>
          <w:spacing w:val="-2"/>
        </w:rPr>
        <w:t xml:space="preserve"> </w:t>
      </w:r>
      <w:r>
        <w:t>des clients professionnels possédant des connaissances et une expertise professionnelles, dont le niveau d’attention est moyen. Les marques antérieures possèdent un caractère distinctif normal. Même si les éléments «BERLUTI» et «BERLISI» des signes respectifs sont susceptibles d’être perçus comme deux noms de famille, ils sont tous deux susceptibles d’être associés à une origine italienne et, compte tenu des coïncidences de leurs débuts et de leurs lettres finales «I», les signes présentent également un degré moyen de similitude visuelle et un degré de similitude phonétique supérieur à la moyenne.</w:t>
      </w:r>
    </w:p>
    <w:p w14:paraId="66C2DBD1" w14:textId="77777777" w:rsidR="002B3448" w:rsidRDefault="002B3448">
      <w:pPr>
        <w:pStyle w:val="Corpsdetexte"/>
        <w:spacing w:before="1"/>
      </w:pPr>
    </w:p>
    <w:p w14:paraId="5C77C58E" w14:textId="77777777" w:rsidR="002B3448" w:rsidRDefault="00000000">
      <w:pPr>
        <w:pStyle w:val="Corpsdetexte"/>
        <w:ind w:left="165" w:right="157"/>
        <w:jc w:val="both"/>
      </w:pPr>
      <w:r>
        <w:t>Par conséquent, les signes contiennent des noms de famille substantiellement similaires, coïncidant dans la plupart de leurs lettres avec des différences limitées à deux lettres («UT» et «IS») et au nombre «05» et à la séquence «91S» du signe contesté, qui n’ont toutefois que peu d’impact dans le signe, et, en ce qui concerne la marque antérieure no 2, la présence</w:t>
      </w:r>
      <w:r>
        <w:rPr>
          <w:spacing w:val="-3"/>
        </w:rPr>
        <w:t xml:space="preserve"> </w:t>
      </w:r>
      <w:r>
        <w:t>d’un</w:t>
      </w:r>
      <w:r>
        <w:rPr>
          <w:spacing w:val="-3"/>
        </w:rPr>
        <w:t xml:space="preserve"> </w:t>
      </w:r>
      <w:r>
        <w:t>nombre</w:t>
      </w:r>
      <w:r>
        <w:rPr>
          <w:spacing w:val="-3"/>
        </w:rPr>
        <w:t xml:space="preserve"> </w:t>
      </w:r>
      <w:r>
        <w:t>supplémentaire</w:t>
      </w:r>
      <w:r>
        <w:rPr>
          <w:spacing w:val="-3"/>
        </w:rPr>
        <w:t xml:space="preserve"> </w:t>
      </w:r>
      <w:r>
        <w:t>et</w:t>
      </w:r>
      <w:r>
        <w:rPr>
          <w:spacing w:val="-1"/>
        </w:rPr>
        <w:t xml:space="preserve"> </w:t>
      </w:r>
      <w:r>
        <w:t>d’un</w:t>
      </w:r>
      <w:r>
        <w:rPr>
          <w:spacing w:val="-1"/>
        </w:rPr>
        <w:t xml:space="preserve"> </w:t>
      </w:r>
      <w:r>
        <w:t>élément</w:t>
      </w:r>
      <w:r>
        <w:rPr>
          <w:spacing w:val="-2"/>
        </w:rPr>
        <w:t xml:space="preserve"> </w:t>
      </w:r>
      <w:r>
        <w:t>verbal</w:t>
      </w:r>
      <w:r>
        <w:rPr>
          <w:spacing w:val="-4"/>
        </w:rPr>
        <w:t xml:space="preserve"> </w:t>
      </w:r>
      <w:r>
        <w:t>(à</w:t>
      </w:r>
      <w:r>
        <w:rPr>
          <w:spacing w:val="-3"/>
        </w:rPr>
        <w:t xml:space="preserve"> </w:t>
      </w:r>
      <w:r>
        <w:t>savoir «PARIS»).</w:t>
      </w:r>
      <w:r>
        <w:rPr>
          <w:spacing w:val="-3"/>
        </w:rPr>
        <w:t xml:space="preserve"> </w:t>
      </w:r>
      <w:r>
        <w:t>Toutefois, étant donné que les éléments supplémentaires du signe contesté sont secondaires et que les éléments supplémentaires de la marque antérieure no 2 ont un caractère distinctif faible, voire inexistant, ces éléments ne suffisent pas à écarter le risque de confusion entre les signes.</w:t>
      </w:r>
      <w:r>
        <w:rPr>
          <w:spacing w:val="64"/>
        </w:rPr>
        <w:t xml:space="preserve"> </w:t>
      </w:r>
      <w:r>
        <w:t>Par</w:t>
      </w:r>
      <w:r>
        <w:rPr>
          <w:spacing w:val="61"/>
        </w:rPr>
        <w:t xml:space="preserve"> </w:t>
      </w:r>
      <w:r>
        <w:t>conséquent,</w:t>
      </w:r>
      <w:r>
        <w:rPr>
          <w:spacing w:val="64"/>
        </w:rPr>
        <w:t xml:space="preserve"> </w:t>
      </w:r>
      <w:r>
        <w:t>les</w:t>
      </w:r>
      <w:r>
        <w:rPr>
          <w:spacing w:val="63"/>
        </w:rPr>
        <w:t xml:space="preserve"> </w:t>
      </w:r>
      <w:r>
        <w:t>différences</w:t>
      </w:r>
      <w:r>
        <w:rPr>
          <w:spacing w:val="60"/>
        </w:rPr>
        <w:t xml:space="preserve"> </w:t>
      </w:r>
      <w:r>
        <w:t>entre</w:t>
      </w:r>
      <w:r>
        <w:rPr>
          <w:spacing w:val="61"/>
        </w:rPr>
        <w:t xml:space="preserve"> </w:t>
      </w:r>
      <w:r>
        <w:t>les</w:t>
      </w:r>
      <w:r>
        <w:rPr>
          <w:spacing w:val="63"/>
        </w:rPr>
        <w:t xml:space="preserve"> </w:t>
      </w:r>
      <w:r>
        <w:t>signes</w:t>
      </w:r>
      <w:r>
        <w:rPr>
          <w:spacing w:val="63"/>
        </w:rPr>
        <w:t xml:space="preserve"> </w:t>
      </w:r>
      <w:r>
        <w:t>ne</w:t>
      </w:r>
      <w:r>
        <w:rPr>
          <w:spacing w:val="60"/>
        </w:rPr>
        <w:t xml:space="preserve"> </w:t>
      </w:r>
      <w:r>
        <w:t>suffisent</w:t>
      </w:r>
      <w:r>
        <w:rPr>
          <w:spacing w:val="62"/>
        </w:rPr>
        <w:t xml:space="preserve"> </w:t>
      </w:r>
      <w:r>
        <w:t>pas</w:t>
      </w:r>
      <w:r>
        <w:rPr>
          <w:spacing w:val="63"/>
        </w:rPr>
        <w:t xml:space="preserve"> </w:t>
      </w:r>
      <w:r>
        <w:t>à</w:t>
      </w:r>
      <w:r>
        <w:rPr>
          <w:spacing w:val="63"/>
        </w:rPr>
        <w:t xml:space="preserve"> </w:t>
      </w:r>
      <w:r>
        <w:t>distinguer</w:t>
      </w:r>
    </w:p>
    <w:p w14:paraId="79E2B040" w14:textId="77777777" w:rsidR="002B3448" w:rsidRDefault="002B3448">
      <w:pPr>
        <w:pStyle w:val="Corpsdetexte"/>
        <w:jc w:val="both"/>
        <w:sectPr w:rsidR="002B3448">
          <w:pgSz w:w="11910" w:h="16840"/>
          <w:pgMar w:top="1000" w:right="1275" w:bottom="280" w:left="1275" w:header="727" w:footer="0" w:gutter="0"/>
          <w:cols w:space="720"/>
        </w:sectPr>
      </w:pPr>
    </w:p>
    <w:p w14:paraId="08907506" w14:textId="77777777" w:rsidR="002B3448" w:rsidRDefault="00000000">
      <w:pPr>
        <w:pStyle w:val="Corpsdetexte"/>
        <w:spacing w:before="181"/>
      </w:pPr>
      <w:r>
        <w:rPr>
          <w:noProof/>
        </w:rPr>
        <w:lastRenderedPageBreak/>
        <mc:AlternateContent>
          <mc:Choice Requires="wps">
            <w:drawing>
              <wp:anchor distT="0" distB="0" distL="0" distR="0" simplePos="0" relativeHeight="15734784" behindDoc="0" locked="0" layoutInCell="1" allowOverlap="1" wp14:anchorId="0FB168DD" wp14:editId="24109E2F">
                <wp:simplePos x="0" y="0"/>
                <wp:positionH relativeFrom="page">
                  <wp:posOffset>270575</wp:posOffset>
                </wp:positionH>
                <wp:positionV relativeFrom="page">
                  <wp:posOffset>1114363</wp:posOffset>
                </wp:positionV>
                <wp:extent cx="146050" cy="921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A1140A5" w14:textId="77777777" w:rsidR="002B3448"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[04-07-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4784" type="#_x0000_t202" id="docshape1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[04-07-</w:t>
                      </w:r>
                      <w:r>
                        <w:rPr>
                          <w:color w:val="3F3F3F"/>
                          <w:spacing w:val="-2"/>
                          <w:sz w:val="17"/>
                        </w:rPr>
                        <w:t>2024]</w:t>
                      </w:r>
                    </w:p>
                  </w:txbxContent>
                </v:textbox>
                <w10:wrap type="none"/>
              </v:shape>
            </w:pict>
          </mc:Fallback>
        </mc:AlternateContent>
      </w:r>
    </w:p>
    <w:p w14:paraId="28E61EB4" w14:textId="77777777" w:rsidR="002B3448" w:rsidRDefault="00000000">
      <w:pPr>
        <w:pStyle w:val="Corpsdetexte"/>
        <w:ind w:left="165" w:right="158"/>
        <w:jc w:val="both"/>
      </w:pPr>
      <w:r>
        <w:t>efficacement les marques. En outre, le consommateur moyen n’a</w:t>
      </w:r>
      <w:r>
        <w:rPr>
          <w:spacing w:val="-2"/>
        </w:rPr>
        <w:t xml:space="preserve"> </w:t>
      </w:r>
      <w:r>
        <w:t>que rarement la possibilité de procéder à une comparaison directe des différentes marques mais doit se fier à l’image non parfaite qu’il en a gardée en mémoire (22/06/1999,-342/97, Lloyd Schuhfabrik, EU:C:1999:323, § 26).</w:t>
      </w:r>
    </w:p>
    <w:p w14:paraId="1F34A9B9" w14:textId="77777777" w:rsidR="002B3448" w:rsidRDefault="002B3448">
      <w:pPr>
        <w:pStyle w:val="Corpsdetexte"/>
      </w:pPr>
    </w:p>
    <w:p w14:paraId="425FD8E0" w14:textId="77777777" w:rsidR="002B3448" w:rsidRDefault="00000000">
      <w:pPr>
        <w:pStyle w:val="Corpsdetexte"/>
        <w:ind w:left="165" w:right="159"/>
        <w:jc w:val="both"/>
      </w:pPr>
      <w:r>
        <w:t>Compte tenu de tous les éléments qui précèdent, la division d’opposition estime qu’il existe un risque de confusion dans l’esprit du public et que, dès lors, l’opposition est en partie fondée sur la base des enregistrements de l’Union européenne, des marques et de l’enregistrement de marques internationales désignant l’Union européenne de l’opposante.</w:t>
      </w:r>
    </w:p>
    <w:p w14:paraId="720FEBD4" w14:textId="77777777" w:rsidR="002B3448" w:rsidRDefault="002B3448">
      <w:pPr>
        <w:pStyle w:val="Corpsdetexte"/>
      </w:pPr>
    </w:p>
    <w:p w14:paraId="67D717C7" w14:textId="77777777" w:rsidR="002B3448" w:rsidRDefault="00000000">
      <w:pPr>
        <w:pStyle w:val="Corpsdetexte"/>
        <w:ind w:left="165" w:right="163"/>
        <w:jc w:val="both"/>
      </w:pPr>
      <w:r>
        <w:t>Eu égard aux considérations qui précèdent, la marque contestée doit être rejetée pour les produits et services jugés identiques ou similaires à ceux de la marque antérieure;</w:t>
      </w:r>
    </w:p>
    <w:p w14:paraId="41B81F8F" w14:textId="77777777" w:rsidR="002B3448" w:rsidRDefault="002B3448">
      <w:pPr>
        <w:pStyle w:val="Corpsdetexte"/>
      </w:pPr>
    </w:p>
    <w:p w14:paraId="4F9F8ADD" w14:textId="77777777" w:rsidR="002B3448" w:rsidRDefault="00000000">
      <w:pPr>
        <w:pStyle w:val="Corpsdetexte"/>
        <w:ind w:left="165" w:right="156"/>
        <w:jc w:val="both"/>
      </w:pPr>
      <w:r>
        <w:t>Les autres services contestés ne sont pas similaires. Étant donné que l’identité ou la similitude des produits et services est une condition nécessaire à l’application de l’article 8, paragraphe</w:t>
      </w:r>
      <w:r>
        <w:rPr>
          <w:spacing w:val="-4"/>
        </w:rPr>
        <w:t xml:space="preserve"> </w:t>
      </w:r>
      <w:r>
        <w:t>1, point</w:t>
      </w:r>
      <w:r>
        <w:rPr>
          <w:spacing w:val="-3"/>
        </w:rPr>
        <w:t xml:space="preserve"> </w:t>
      </w:r>
      <w:r>
        <w:t>b), du RMUE, l’opposition fondée sur cet article et dirigée contre ces services ne saurait être accueillie.</w:t>
      </w:r>
    </w:p>
    <w:p w14:paraId="369F18ED" w14:textId="77777777" w:rsidR="002B3448" w:rsidRDefault="002B3448">
      <w:pPr>
        <w:pStyle w:val="Corpsdetexte"/>
      </w:pPr>
    </w:p>
    <w:p w14:paraId="108C115F" w14:textId="77777777" w:rsidR="002B3448" w:rsidRDefault="002B3448">
      <w:pPr>
        <w:pStyle w:val="Corpsdetexte"/>
        <w:spacing w:before="2"/>
      </w:pPr>
    </w:p>
    <w:p w14:paraId="688311BF" w14:textId="77777777" w:rsidR="002B3448" w:rsidRDefault="00000000">
      <w:pPr>
        <w:pStyle w:val="Titre1"/>
        <w:ind w:left="165"/>
      </w:pPr>
      <w:r>
        <w:rPr>
          <w:spacing w:val="-2"/>
        </w:rPr>
        <w:t>FRAIS</w:t>
      </w:r>
    </w:p>
    <w:p w14:paraId="074CBAFC" w14:textId="77777777" w:rsidR="002B3448" w:rsidRDefault="002B3448">
      <w:pPr>
        <w:pStyle w:val="Corpsdetexte"/>
        <w:rPr>
          <w:rFonts w:ascii="Arial"/>
          <w:b/>
        </w:rPr>
      </w:pPr>
    </w:p>
    <w:p w14:paraId="25AE0CEC" w14:textId="77777777" w:rsidR="002B3448" w:rsidRDefault="00000000">
      <w:pPr>
        <w:pStyle w:val="Corpsdetexte"/>
        <w:ind w:left="165" w:right="161"/>
        <w:jc w:val="both"/>
      </w:pPr>
      <w:r>
        <w:t>Conformément à l’article 109, paragraphe</w:t>
      </w:r>
      <w:r>
        <w:rPr>
          <w:spacing w:val="-2"/>
        </w:rPr>
        <w:t xml:space="preserve"> </w:t>
      </w:r>
      <w:r>
        <w:t>1, du RMUE, la partie perdante dans une procédure d’opposition doit supporter les taxes et frais exposés par l’autre partie. Conformément à l’article 109, paragraphe</w:t>
      </w:r>
      <w:r>
        <w:rPr>
          <w:spacing w:val="-2"/>
        </w:rPr>
        <w:t xml:space="preserve"> </w:t>
      </w:r>
      <w:r>
        <w:t>3, du RMUE, dans la mesure où les parties succombent respectivement sur</w:t>
      </w:r>
      <w:r>
        <w:rPr>
          <w:spacing w:val="-1"/>
        </w:rPr>
        <w:t xml:space="preserve"> </w:t>
      </w:r>
      <w:r>
        <w:t>un ou plusieurs chefs, ou dans la</w:t>
      </w:r>
      <w:r>
        <w:rPr>
          <w:spacing w:val="-2"/>
        </w:rPr>
        <w:t xml:space="preserve"> </w:t>
      </w:r>
      <w:r>
        <w:t>mesure</w:t>
      </w:r>
      <w:r>
        <w:rPr>
          <w:spacing w:val="-2"/>
        </w:rPr>
        <w:t xml:space="preserve"> </w:t>
      </w:r>
      <w:r>
        <w:t>où l’équité l’exige, la division d’opposition décide d’une répartition différente des frais.</w:t>
      </w:r>
    </w:p>
    <w:p w14:paraId="21327621" w14:textId="77777777" w:rsidR="002B3448" w:rsidRDefault="00000000">
      <w:pPr>
        <w:pStyle w:val="Corpsdetexte"/>
        <w:spacing w:before="252"/>
        <w:ind w:left="165" w:right="162"/>
        <w:jc w:val="both"/>
      </w:pPr>
      <w:r>
        <w:t>Étant donné que l’opposition n’est accueillie que pour une partie des produits et services contestés, les deux parties succombent respectivement sur un ou plusieurs chefs. Par conséquent, chaque partie doit supporter ses propres dépens.</w:t>
      </w:r>
    </w:p>
    <w:p w14:paraId="27EA92E7" w14:textId="77777777" w:rsidR="002B3448" w:rsidRDefault="00000000">
      <w:pPr>
        <w:pStyle w:val="Corpsdetexte"/>
        <w:spacing w:before="10"/>
        <w:rPr>
          <w:sz w:val="19"/>
        </w:rPr>
      </w:pPr>
      <w:r>
        <w:rPr>
          <w:noProof/>
          <w:sz w:val="19"/>
        </w:rPr>
        <w:drawing>
          <wp:anchor distT="0" distB="0" distL="0" distR="0" simplePos="0" relativeHeight="487593472" behindDoc="1" locked="0" layoutInCell="1" allowOverlap="1" wp14:anchorId="2C9137E2" wp14:editId="5A19A587">
            <wp:simplePos x="0" y="0"/>
            <wp:positionH relativeFrom="page">
              <wp:posOffset>3470909</wp:posOffset>
            </wp:positionH>
            <wp:positionV relativeFrom="paragraph">
              <wp:posOffset>160810</wp:posOffset>
            </wp:positionV>
            <wp:extent cx="619876" cy="62865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619876" cy="628650"/>
                    </a:xfrm>
                    <a:prstGeom prst="rect">
                      <a:avLst/>
                    </a:prstGeom>
                  </pic:spPr>
                </pic:pic>
              </a:graphicData>
            </a:graphic>
          </wp:anchor>
        </w:drawing>
      </w:r>
    </w:p>
    <w:p w14:paraId="6D126342" w14:textId="77777777" w:rsidR="002B3448" w:rsidRDefault="002B3448">
      <w:pPr>
        <w:pStyle w:val="Corpsdetexte"/>
      </w:pPr>
    </w:p>
    <w:p w14:paraId="7576D5C8" w14:textId="77777777" w:rsidR="002B3448" w:rsidRDefault="002B3448">
      <w:pPr>
        <w:pStyle w:val="Corpsdetexte"/>
      </w:pPr>
    </w:p>
    <w:p w14:paraId="6AF44EC4" w14:textId="77777777" w:rsidR="002B3448" w:rsidRDefault="00000000">
      <w:pPr>
        <w:pStyle w:val="Titre1"/>
        <w:ind w:right="2"/>
        <w:jc w:val="center"/>
      </w:pPr>
      <w:r>
        <w:t>De</w:t>
      </w:r>
      <w:r>
        <w:rPr>
          <w:spacing w:val="-3"/>
        </w:rPr>
        <w:t xml:space="preserve"> </w:t>
      </w:r>
      <w:r>
        <w:t>la</w:t>
      </w:r>
      <w:r>
        <w:rPr>
          <w:spacing w:val="-2"/>
        </w:rPr>
        <w:t xml:space="preserve"> </w:t>
      </w:r>
      <w:r>
        <w:t>division</w:t>
      </w:r>
      <w:r>
        <w:rPr>
          <w:spacing w:val="-5"/>
        </w:rPr>
        <w:t xml:space="preserve"> </w:t>
      </w:r>
      <w:r>
        <w:rPr>
          <w:spacing w:val="-2"/>
        </w:rPr>
        <w:t>d’opposition</w:t>
      </w:r>
    </w:p>
    <w:p w14:paraId="397EB1CF" w14:textId="77777777" w:rsidR="002B3448" w:rsidRDefault="002B3448">
      <w:pPr>
        <w:pStyle w:val="Corpsdetexte"/>
        <w:rPr>
          <w:rFonts w:ascii="Arial"/>
          <w:b/>
          <w:sz w:val="20"/>
        </w:rPr>
      </w:pPr>
    </w:p>
    <w:p w14:paraId="4C782EBC" w14:textId="77777777" w:rsidR="002B3448" w:rsidRDefault="002B3448">
      <w:pPr>
        <w:pStyle w:val="Corpsdetexte"/>
        <w:spacing w:before="67"/>
        <w:rPr>
          <w:rFonts w:ascii="Arial"/>
          <w:b/>
          <w:sz w:val="20"/>
        </w:rPr>
      </w:pPr>
    </w:p>
    <w:tbl>
      <w:tblPr>
        <w:tblStyle w:val="TableNormal"/>
        <w:tblW w:w="0" w:type="auto"/>
        <w:tblInd w:w="953" w:type="dxa"/>
        <w:tblLayout w:type="fixed"/>
        <w:tblLook w:val="01E0" w:firstRow="1" w:lastRow="1" w:firstColumn="1" w:lastColumn="1" w:noHBand="0" w:noVBand="0"/>
      </w:tblPr>
      <w:tblGrid>
        <w:gridCol w:w="2130"/>
        <w:gridCol w:w="2912"/>
        <w:gridCol w:w="2973"/>
      </w:tblGrid>
      <w:tr w:rsidR="002B3448" w14:paraId="4D069225" w14:textId="77777777">
        <w:trPr>
          <w:trHeight w:val="246"/>
        </w:trPr>
        <w:tc>
          <w:tcPr>
            <w:tcW w:w="2130" w:type="dxa"/>
          </w:tcPr>
          <w:p w14:paraId="39A5C8A6" w14:textId="77777777" w:rsidR="002B3448" w:rsidRDefault="00000000">
            <w:pPr>
              <w:pStyle w:val="TableParagraph"/>
              <w:spacing w:line="227" w:lineRule="exact"/>
              <w:ind w:left="50"/>
              <w:rPr>
                <w:rFonts w:ascii="Arial MT"/>
              </w:rPr>
            </w:pPr>
            <w:r>
              <w:rPr>
                <w:rFonts w:ascii="Arial MT"/>
              </w:rPr>
              <w:t>Martina</w:t>
            </w:r>
            <w:r>
              <w:rPr>
                <w:rFonts w:ascii="Arial MT"/>
                <w:spacing w:val="-6"/>
              </w:rPr>
              <w:t xml:space="preserve"> </w:t>
            </w:r>
            <w:r>
              <w:rPr>
                <w:rFonts w:ascii="Arial MT"/>
                <w:spacing w:val="-2"/>
              </w:rPr>
              <w:t>Galle</w:t>
            </w:r>
          </w:p>
        </w:tc>
        <w:tc>
          <w:tcPr>
            <w:tcW w:w="2912" w:type="dxa"/>
          </w:tcPr>
          <w:p w14:paraId="280F66CB" w14:textId="77777777" w:rsidR="002B3448" w:rsidRDefault="00000000">
            <w:pPr>
              <w:pStyle w:val="TableParagraph"/>
              <w:spacing w:line="227" w:lineRule="exact"/>
              <w:ind w:left="771"/>
              <w:rPr>
                <w:rFonts w:ascii="Arial MT"/>
              </w:rPr>
            </w:pPr>
            <w:r>
              <w:rPr>
                <w:rFonts w:ascii="Arial MT"/>
              </w:rPr>
              <w:t>Letizia</w:t>
            </w:r>
            <w:r>
              <w:rPr>
                <w:rFonts w:ascii="Arial MT"/>
                <w:spacing w:val="-9"/>
              </w:rPr>
              <w:t xml:space="preserve"> </w:t>
            </w:r>
            <w:r>
              <w:rPr>
                <w:rFonts w:ascii="Arial MT"/>
                <w:spacing w:val="-2"/>
              </w:rPr>
              <w:t>TOMADA</w:t>
            </w:r>
          </w:p>
        </w:tc>
        <w:tc>
          <w:tcPr>
            <w:tcW w:w="2973" w:type="dxa"/>
          </w:tcPr>
          <w:p w14:paraId="71E72F18" w14:textId="77777777" w:rsidR="002B3448" w:rsidRDefault="00000000">
            <w:pPr>
              <w:pStyle w:val="TableParagraph"/>
              <w:spacing w:line="227" w:lineRule="exact"/>
              <w:ind w:left="502"/>
              <w:rPr>
                <w:rFonts w:ascii="Arial MT" w:hAnsi="Arial MT"/>
              </w:rPr>
            </w:pPr>
            <w:r>
              <w:rPr>
                <w:rFonts w:ascii="Arial MT" w:hAnsi="Arial MT"/>
              </w:rPr>
              <w:t>Caridad</w:t>
            </w:r>
            <w:r>
              <w:rPr>
                <w:rFonts w:ascii="Arial MT" w:hAnsi="Arial MT"/>
                <w:spacing w:val="-7"/>
              </w:rPr>
              <w:t xml:space="preserve"> </w:t>
            </w:r>
            <w:r>
              <w:rPr>
                <w:rFonts w:ascii="Arial MT" w:hAnsi="Arial MT"/>
              </w:rPr>
              <w:t>Muñoz</w:t>
            </w:r>
            <w:r>
              <w:rPr>
                <w:rFonts w:ascii="Arial MT" w:hAnsi="Arial MT"/>
                <w:spacing w:val="-7"/>
              </w:rPr>
              <w:t xml:space="preserve"> </w:t>
            </w:r>
            <w:r>
              <w:rPr>
                <w:rFonts w:ascii="Arial MT" w:hAnsi="Arial MT"/>
                <w:spacing w:val="-2"/>
              </w:rPr>
              <w:t>VALDÉS</w:t>
            </w:r>
          </w:p>
        </w:tc>
      </w:tr>
    </w:tbl>
    <w:p w14:paraId="10217AF9" w14:textId="77777777" w:rsidR="002B3448" w:rsidRDefault="002B3448">
      <w:pPr>
        <w:pStyle w:val="Corpsdetexte"/>
        <w:rPr>
          <w:rFonts w:ascii="Arial"/>
          <w:b/>
        </w:rPr>
      </w:pPr>
    </w:p>
    <w:p w14:paraId="6F775AA7" w14:textId="77777777" w:rsidR="002B3448" w:rsidRDefault="002B3448">
      <w:pPr>
        <w:pStyle w:val="Corpsdetexte"/>
        <w:spacing w:before="17"/>
        <w:rPr>
          <w:rFonts w:ascii="Arial"/>
          <w:b/>
        </w:rPr>
      </w:pPr>
    </w:p>
    <w:p w14:paraId="50DD9B59" w14:textId="77777777" w:rsidR="002B3448" w:rsidRDefault="00000000">
      <w:pPr>
        <w:pStyle w:val="Corpsdetexte"/>
        <w:ind w:left="165" w:right="157"/>
        <w:jc w:val="both"/>
      </w:pPr>
      <w:r>
        <w:t>Conformément à l’article 67 du RMUE, toute partie peut recourir contre cette décision pour autant</w:t>
      </w:r>
      <w:r>
        <w:rPr>
          <w:spacing w:val="-5"/>
        </w:rPr>
        <w:t xml:space="preserve"> </w:t>
      </w:r>
      <w:r>
        <w:t>que</w:t>
      </w:r>
      <w:r>
        <w:rPr>
          <w:spacing w:val="-2"/>
        </w:rPr>
        <w:t xml:space="preserve"> </w:t>
      </w:r>
      <w:r>
        <w:t>cette</w:t>
      </w:r>
      <w:r>
        <w:rPr>
          <w:spacing w:val="-4"/>
        </w:rPr>
        <w:t xml:space="preserve"> </w:t>
      </w:r>
      <w:r>
        <w:t>dernière</w:t>
      </w:r>
      <w:r>
        <w:rPr>
          <w:spacing w:val="-4"/>
        </w:rPr>
        <w:t xml:space="preserve"> </w:t>
      </w:r>
      <w:r>
        <w:t>n’ait pas</w:t>
      </w:r>
      <w:r>
        <w:rPr>
          <w:spacing w:val="-4"/>
        </w:rPr>
        <w:t xml:space="preserve"> </w:t>
      </w:r>
      <w:r>
        <w:t>fait</w:t>
      </w:r>
      <w:r>
        <w:rPr>
          <w:spacing w:val="-3"/>
        </w:rPr>
        <w:t xml:space="preserve"> </w:t>
      </w:r>
      <w:r>
        <w:t>droit</w:t>
      </w:r>
      <w:r>
        <w:rPr>
          <w:spacing w:val="-3"/>
        </w:rPr>
        <w:t xml:space="preserve"> </w:t>
      </w:r>
      <w:r>
        <w:t>à</w:t>
      </w:r>
      <w:r>
        <w:rPr>
          <w:spacing w:val="-2"/>
        </w:rPr>
        <w:t xml:space="preserve"> </w:t>
      </w:r>
      <w:r>
        <w:t>ses</w:t>
      </w:r>
      <w:r>
        <w:rPr>
          <w:spacing w:val="-4"/>
        </w:rPr>
        <w:t xml:space="preserve"> </w:t>
      </w:r>
      <w:r>
        <w:t>prétentions. Conformément à</w:t>
      </w:r>
      <w:r>
        <w:rPr>
          <w:spacing w:val="-4"/>
        </w:rPr>
        <w:t xml:space="preserve"> </w:t>
      </w:r>
      <w:r>
        <w:t>l’article 68</w:t>
      </w:r>
      <w:r>
        <w:rPr>
          <w:spacing w:val="-2"/>
        </w:rPr>
        <w:t xml:space="preserve"> </w:t>
      </w:r>
      <w:r>
        <w:t>du RMUE, le recours doit être formé par écrit auprès de l’Office dans un délai de deux mois à compter du</w:t>
      </w:r>
      <w:r>
        <w:rPr>
          <w:spacing w:val="-2"/>
        </w:rPr>
        <w:t xml:space="preserve"> </w:t>
      </w:r>
      <w:r>
        <w:t>jour de</w:t>
      </w:r>
      <w:r>
        <w:rPr>
          <w:spacing w:val="-2"/>
        </w:rPr>
        <w:t xml:space="preserve"> </w:t>
      </w:r>
      <w:r>
        <w:t>la notification de la présente</w:t>
      </w:r>
      <w:r>
        <w:rPr>
          <w:spacing w:val="-1"/>
        </w:rPr>
        <w:t xml:space="preserve"> </w:t>
      </w:r>
      <w:r>
        <w:t>décision. L’acte de recours est</w:t>
      </w:r>
      <w:r>
        <w:rPr>
          <w:spacing w:val="-1"/>
        </w:rPr>
        <w:t xml:space="preserve"> </w:t>
      </w:r>
      <w:r>
        <w:t>déposé</w:t>
      </w:r>
      <w:r>
        <w:rPr>
          <w:spacing w:val="-2"/>
        </w:rPr>
        <w:t xml:space="preserve"> </w:t>
      </w:r>
      <w:r>
        <w:t>dans la langue de procédure de la décision attaquée. En outre, un mémoire exposant les motifs</w:t>
      </w:r>
      <w:r>
        <w:rPr>
          <w:spacing w:val="40"/>
        </w:rPr>
        <w:t xml:space="preserve"> </w:t>
      </w:r>
      <w:r>
        <w:t>du recours doit être déposé par écrit dans un délai de quatre mois à compter de cette date. Le recours n’est considéré comme formé qu’après paiement de la taxe de recours d’un montant de 720 EUR.</w:t>
      </w:r>
    </w:p>
    <w:sectPr w:rsidR="002B3448">
      <w:pgSz w:w="11910" w:h="16840"/>
      <w:pgMar w:top="1000" w:right="1275" w:bottom="280" w:left="1275"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C4EA" w14:textId="77777777" w:rsidR="002E67A1" w:rsidRDefault="002E67A1">
      <w:r>
        <w:separator/>
      </w:r>
    </w:p>
  </w:endnote>
  <w:endnote w:type="continuationSeparator" w:id="0">
    <w:p w14:paraId="460BE676" w14:textId="77777777" w:rsidR="002E67A1" w:rsidRDefault="002E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1"/>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mbria Math">
    <w:panose1 w:val="02040503050406030204"/>
    <w:charset w:val="01"/>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199C5" w14:textId="77777777" w:rsidR="002E67A1" w:rsidRDefault="002E67A1">
      <w:r>
        <w:separator/>
      </w:r>
    </w:p>
  </w:footnote>
  <w:footnote w:type="continuationSeparator" w:id="0">
    <w:p w14:paraId="7DE8DDD0" w14:textId="77777777" w:rsidR="002E67A1" w:rsidRDefault="002E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3696" w14:textId="77777777" w:rsidR="002B3448" w:rsidRDefault="00000000">
    <w:pPr>
      <w:pStyle w:val="Corpsdetexte"/>
      <w:spacing w:line="14" w:lineRule="auto"/>
      <w:rPr>
        <w:sz w:val="20"/>
      </w:rPr>
    </w:pPr>
    <w:r>
      <w:rPr>
        <w:noProof/>
        <w:sz w:val="20"/>
      </w:rPr>
      <mc:AlternateContent>
        <mc:Choice Requires="wps">
          <w:drawing>
            <wp:anchor distT="0" distB="0" distL="0" distR="0" simplePos="0" relativeHeight="487414272" behindDoc="1" locked="0" layoutInCell="1" allowOverlap="1" wp14:anchorId="3E652E93" wp14:editId="4AB8A1A8">
              <wp:simplePos x="0" y="0"/>
              <wp:positionH relativeFrom="page">
                <wp:posOffset>896416</wp:posOffset>
              </wp:positionH>
              <wp:positionV relativeFrom="page">
                <wp:posOffset>629411</wp:posOffset>
              </wp:positionV>
              <wp:extent cx="576961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49.559982pt;width:454.27pt;height:.72pt;mso-position-horizontal-relative:page;mso-position-vertical-relative:page;z-index:-15902208" id="docshape3" filled="true" fillcolor="#585858" stroked="false">
              <v:fill type="solid"/>
              <w10:wrap type="none"/>
            </v:rect>
          </w:pict>
        </mc:Fallback>
      </mc:AlternateContent>
    </w:r>
    <w:r>
      <w:rPr>
        <w:noProof/>
        <w:sz w:val="20"/>
      </w:rPr>
      <mc:AlternateContent>
        <mc:Choice Requires="wps">
          <w:drawing>
            <wp:anchor distT="0" distB="0" distL="0" distR="0" simplePos="0" relativeHeight="487414784" behindDoc="1" locked="0" layoutInCell="1" allowOverlap="1" wp14:anchorId="281E8539" wp14:editId="35E9915B">
              <wp:simplePos x="0" y="0"/>
              <wp:positionH relativeFrom="page">
                <wp:posOffset>902004</wp:posOffset>
              </wp:positionH>
              <wp:positionV relativeFrom="page">
                <wp:posOffset>448637</wp:posOffset>
              </wp:positionV>
              <wp:extent cx="2520950"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0" cy="182245"/>
                      </a:xfrm>
                      <a:prstGeom prst="rect">
                        <a:avLst/>
                      </a:prstGeom>
                    </wps:spPr>
                    <wps:txbx>
                      <w:txbxContent>
                        <w:p w14:paraId="3A168050" w14:textId="77777777" w:rsidR="002B3448" w:rsidRDefault="00000000">
                          <w:pPr>
                            <w:pStyle w:val="Corpsdetexte"/>
                            <w:spacing w:before="13"/>
                            <w:ind w:left="20"/>
                          </w:pPr>
                          <w:r>
                            <w:t>Décision</w:t>
                          </w:r>
                          <w:r>
                            <w:rPr>
                              <w:spacing w:val="-6"/>
                            </w:rPr>
                            <w:t xml:space="preserve"> </w:t>
                          </w:r>
                          <w:r>
                            <w:t>sur</w:t>
                          </w:r>
                          <w:r>
                            <w:rPr>
                              <w:spacing w:val="-3"/>
                            </w:rPr>
                            <w:t xml:space="preserve"> </w:t>
                          </w:r>
                          <w:r>
                            <w:t>l’opposition</w:t>
                          </w:r>
                          <w:r>
                            <w:rPr>
                              <w:spacing w:val="-6"/>
                            </w:rPr>
                            <w:t xml:space="preserve"> </w:t>
                          </w:r>
                          <w:r>
                            <w:t>no</w:t>
                          </w:r>
                          <w:r>
                            <w:rPr>
                              <w:spacing w:val="-4"/>
                            </w:rPr>
                            <w:t xml:space="preserve"> </w:t>
                          </w:r>
                          <w:r>
                            <w:t>B</w:t>
                          </w:r>
                          <w:r>
                            <w:rPr>
                              <w:spacing w:val="-4"/>
                            </w:rPr>
                            <w:t xml:space="preserve"> </w:t>
                          </w:r>
                          <w:r>
                            <w:t>3</w:t>
                          </w:r>
                          <w:r>
                            <w:rPr>
                              <w:spacing w:val="-5"/>
                            </w:rPr>
                            <w:t xml:space="preserve"> </w:t>
                          </w:r>
                          <w:r>
                            <w:t>204</w:t>
                          </w:r>
                          <w:r>
                            <w:rPr>
                              <w:spacing w:val="-3"/>
                            </w:rPr>
                            <w:t xml:space="preserve"> </w:t>
                          </w:r>
                          <w:r>
                            <w:rPr>
                              <w:spacing w:val="-5"/>
                            </w:rPr>
                            <w:t>893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4002pt;margin-top:35.325764pt;width:198.5pt;height:14.35pt;mso-position-horizontal-relative:page;mso-position-vertical-relative:page;z-index:-15901696" type="#_x0000_t202" id="docshape4" filled="false" stroked="false">
              <v:textbox inset="0,0,0,0">
                <w:txbxContent>
                  <w:p>
                    <w:pPr>
                      <w:pStyle w:val="BodyText"/>
                      <w:spacing w:before="13"/>
                      <w:ind w:left="20"/>
                    </w:pPr>
                    <w:r>
                      <w:rPr/>
                      <w:t>Décision</w:t>
                    </w:r>
                    <w:r>
                      <w:rPr>
                        <w:spacing w:val="-6"/>
                      </w:rPr>
                      <w:t> </w:t>
                    </w:r>
                    <w:r>
                      <w:rPr/>
                      <w:t>sur</w:t>
                    </w:r>
                    <w:r>
                      <w:rPr>
                        <w:spacing w:val="-3"/>
                      </w:rPr>
                      <w:t> </w:t>
                    </w:r>
                    <w:r>
                      <w:rPr/>
                      <w:t>l’opposition</w:t>
                    </w:r>
                    <w:r>
                      <w:rPr>
                        <w:spacing w:val="-6"/>
                      </w:rPr>
                      <w:t> </w:t>
                    </w:r>
                    <w:r>
                      <w:rPr/>
                      <w:t>no</w:t>
                    </w:r>
                    <w:r>
                      <w:rPr>
                        <w:spacing w:val="-4"/>
                      </w:rPr>
                      <w:t> </w:t>
                    </w:r>
                    <w:r>
                      <w:rPr/>
                      <w:t>B</w:t>
                    </w:r>
                    <w:r>
                      <w:rPr>
                        <w:spacing w:val="-4"/>
                      </w:rPr>
                      <w:t> </w:t>
                    </w:r>
                    <w:r>
                      <w:rPr/>
                      <w:t>3</w:t>
                    </w:r>
                    <w:r>
                      <w:rPr>
                        <w:spacing w:val="-5"/>
                      </w:rPr>
                      <w:t> </w:t>
                    </w:r>
                    <w:r>
                      <w:rPr/>
                      <w:t>204</w:t>
                    </w:r>
                    <w:r>
                      <w:rPr>
                        <w:spacing w:val="-3"/>
                      </w:rPr>
                      <w:t> </w:t>
                    </w:r>
                    <w:r>
                      <w:rPr>
                        <w:spacing w:val="-5"/>
                      </w:rPr>
                      <w:t>893</w:t>
                    </w:r>
                  </w:p>
                </w:txbxContent>
              </v:textbox>
              <w10:wrap type="none"/>
            </v:shape>
          </w:pict>
        </mc:Fallback>
      </mc:AlternateContent>
    </w:r>
    <w:r>
      <w:rPr>
        <w:noProof/>
        <w:sz w:val="20"/>
      </w:rPr>
      <mc:AlternateContent>
        <mc:Choice Requires="wps">
          <w:drawing>
            <wp:anchor distT="0" distB="0" distL="0" distR="0" simplePos="0" relativeHeight="487415296" behindDoc="1" locked="0" layoutInCell="1" allowOverlap="1" wp14:anchorId="5C7A2BFF" wp14:editId="55F6AA9B">
              <wp:simplePos x="0" y="0"/>
              <wp:positionH relativeFrom="page">
                <wp:posOffset>5825490</wp:posOffset>
              </wp:positionH>
              <wp:positionV relativeFrom="page">
                <wp:posOffset>448637</wp:posOffset>
              </wp:positionV>
              <wp:extent cx="81978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82245"/>
                      </a:xfrm>
                      <a:prstGeom prst="rect">
                        <a:avLst/>
                      </a:prstGeom>
                    </wps:spPr>
                    <wps:txbx>
                      <w:txbxContent>
                        <w:p w14:paraId="59AB1E88" w14:textId="77777777" w:rsidR="002B3448" w:rsidRDefault="00000000">
                          <w:pPr>
                            <w:pStyle w:val="Corpsdetexte"/>
                            <w:spacing w:before="13"/>
                            <w:ind w:left="20"/>
                          </w:pPr>
                          <w:r>
                            <w:t>Page</w:t>
                          </w:r>
                          <w:r>
                            <w:rPr>
                              <w:spacing w:val="-5"/>
                            </w:rPr>
                            <w:t xml:space="preserve"> </w:t>
                          </w:r>
                          <w:r>
                            <w:t>sur</w:t>
                          </w:r>
                          <w:r>
                            <w:rPr>
                              <w:spacing w:val="-1"/>
                            </w:rPr>
                            <w:t xml:space="preserve"> </w:t>
                          </w:r>
                          <w:r>
                            <w:fldChar w:fldCharType="begin"/>
                          </w:r>
                          <w:r>
                            <w:instrText xml:space="preserve"> PAGE </w:instrText>
                          </w:r>
                          <w:r>
                            <w:fldChar w:fldCharType="separate"/>
                          </w:r>
                          <w:r>
                            <w:t>2</w:t>
                          </w:r>
                          <w:r>
                            <w:fldChar w:fldCharType="end"/>
                          </w:r>
                          <w: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8.700012pt;margin-top:35.325764pt;width:64.55pt;height:14.35pt;mso-position-horizontal-relative:page;mso-position-vertical-relative:page;z-index:-15901184" type="#_x0000_t202" id="docshape5" filled="false" stroked="false">
              <v:textbox inset="0,0,0,0">
                <w:txbxContent>
                  <w:p>
                    <w:pPr>
                      <w:pStyle w:val="BodyText"/>
                      <w:spacing w:before="13"/>
                      <w:ind w:left="20"/>
                    </w:pPr>
                    <w:r>
                      <w:rPr/>
                      <w:t>Page</w:t>
                    </w:r>
                    <w:r>
                      <w:rPr>
                        <w:spacing w:val="-5"/>
                      </w:rPr>
                      <w:t> </w:t>
                    </w:r>
                    <w:r>
                      <w:rPr/>
                      <w:t>sur</w:t>
                    </w:r>
                    <w:r>
                      <w:rPr>
                        <w:spacing w:val="-1"/>
                      </w:rPr>
                      <w:t> </w:t>
                    </w:r>
                    <w:r>
                      <w:rPr/>
                      <w:fldChar w:fldCharType="begin"/>
                    </w:r>
                    <w:r>
                      <w:rPr/>
                      <w:instrText> PAGE </w:instrText>
                    </w:r>
                    <w:r>
                      <w:rPr/>
                      <w:fldChar w:fldCharType="separate"/>
                    </w:r>
                    <w:r>
                      <w:rPr/>
                      <w:t>2</w:t>
                    </w:r>
                    <w:r>
                      <w:rPr/>
                      <w:fldChar w:fldCharType="end"/>
                    </w:r>
                    <w:r>
                      <w:rPr/>
                      <w:t> </w:t>
                    </w:r>
                    <w:r>
                      <w:rPr>
                        <w:spacing w:val="-10"/>
                      </w:rPr>
                      <w:fldChar w:fldCharType="begin"/>
                    </w:r>
                    <w:r>
                      <w:rPr>
                        <w:spacing w:val="-10"/>
                      </w:rPr>
                      <w:instrText> NUMPAGES </w:instrText>
                    </w:r>
                    <w:r>
                      <w:rPr>
                        <w:spacing w:val="-10"/>
                      </w:rPr>
                      <w:fldChar w:fldCharType="separate"/>
                    </w:r>
                    <w:r>
                      <w:rPr>
                        <w:spacing w:val="-10"/>
                      </w:rPr>
                      <w:t>9</w:t>
                    </w:r>
                    <w:r>
                      <w:rPr>
                        <w:spacing w:val="-10"/>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9C0"/>
    <w:multiLevelType w:val="hybridMultilevel"/>
    <w:tmpl w:val="91AAC408"/>
    <w:lvl w:ilvl="0" w:tplc="15223F58">
      <w:start w:val="1"/>
      <w:numFmt w:val="lowerLetter"/>
      <w:lvlText w:val="%1)"/>
      <w:lvlJc w:val="left"/>
      <w:pPr>
        <w:ind w:left="424" w:hanging="260"/>
        <w:jc w:val="left"/>
      </w:pPr>
      <w:rPr>
        <w:rFonts w:ascii="Arial" w:eastAsia="Arial" w:hAnsi="Arial" w:cs="Arial" w:hint="default"/>
        <w:b/>
        <w:bCs/>
        <w:i w:val="0"/>
        <w:iCs w:val="0"/>
        <w:spacing w:val="0"/>
        <w:w w:val="100"/>
        <w:sz w:val="22"/>
        <w:szCs w:val="22"/>
        <w:lang w:val="fr-FR" w:eastAsia="en-US" w:bidi="ar-SA"/>
      </w:rPr>
    </w:lvl>
    <w:lvl w:ilvl="1" w:tplc="7BD4E8DC">
      <w:numFmt w:val="bullet"/>
      <w:lvlText w:val="•"/>
      <w:lvlJc w:val="left"/>
      <w:pPr>
        <w:ind w:left="1313" w:hanging="260"/>
      </w:pPr>
      <w:rPr>
        <w:rFonts w:hint="default"/>
        <w:lang w:val="fr-FR" w:eastAsia="en-US" w:bidi="ar-SA"/>
      </w:rPr>
    </w:lvl>
    <w:lvl w:ilvl="2" w:tplc="BBD0D308">
      <w:numFmt w:val="bullet"/>
      <w:lvlText w:val="•"/>
      <w:lvlJc w:val="left"/>
      <w:pPr>
        <w:ind w:left="2207" w:hanging="260"/>
      </w:pPr>
      <w:rPr>
        <w:rFonts w:hint="default"/>
        <w:lang w:val="fr-FR" w:eastAsia="en-US" w:bidi="ar-SA"/>
      </w:rPr>
    </w:lvl>
    <w:lvl w:ilvl="3" w:tplc="8BD85818">
      <w:numFmt w:val="bullet"/>
      <w:lvlText w:val="•"/>
      <w:lvlJc w:val="left"/>
      <w:pPr>
        <w:ind w:left="3100" w:hanging="260"/>
      </w:pPr>
      <w:rPr>
        <w:rFonts w:hint="default"/>
        <w:lang w:val="fr-FR" w:eastAsia="en-US" w:bidi="ar-SA"/>
      </w:rPr>
    </w:lvl>
    <w:lvl w:ilvl="4" w:tplc="FC1A0452">
      <w:numFmt w:val="bullet"/>
      <w:lvlText w:val="•"/>
      <w:lvlJc w:val="left"/>
      <w:pPr>
        <w:ind w:left="3994" w:hanging="260"/>
      </w:pPr>
      <w:rPr>
        <w:rFonts w:hint="default"/>
        <w:lang w:val="fr-FR" w:eastAsia="en-US" w:bidi="ar-SA"/>
      </w:rPr>
    </w:lvl>
    <w:lvl w:ilvl="5" w:tplc="0FB88BF0">
      <w:numFmt w:val="bullet"/>
      <w:lvlText w:val="•"/>
      <w:lvlJc w:val="left"/>
      <w:pPr>
        <w:ind w:left="4888" w:hanging="260"/>
      </w:pPr>
      <w:rPr>
        <w:rFonts w:hint="default"/>
        <w:lang w:val="fr-FR" w:eastAsia="en-US" w:bidi="ar-SA"/>
      </w:rPr>
    </w:lvl>
    <w:lvl w:ilvl="6" w:tplc="D7DCC62C">
      <w:numFmt w:val="bullet"/>
      <w:lvlText w:val="•"/>
      <w:lvlJc w:val="left"/>
      <w:pPr>
        <w:ind w:left="5781" w:hanging="260"/>
      </w:pPr>
      <w:rPr>
        <w:rFonts w:hint="default"/>
        <w:lang w:val="fr-FR" w:eastAsia="en-US" w:bidi="ar-SA"/>
      </w:rPr>
    </w:lvl>
    <w:lvl w:ilvl="7" w:tplc="3D845F40">
      <w:numFmt w:val="bullet"/>
      <w:lvlText w:val="•"/>
      <w:lvlJc w:val="left"/>
      <w:pPr>
        <w:ind w:left="6675" w:hanging="260"/>
      </w:pPr>
      <w:rPr>
        <w:rFonts w:hint="default"/>
        <w:lang w:val="fr-FR" w:eastAsia="en-US" w:bidi="ar-SA"/>
      </w:rPr>
    </w:lvl>
    <w:lvl w:ilvl="8" w:tplc="9FB0D538">
      <w:numFmt w:val="bullet"/>
      <w:lvlText w:val="•"/>
      <w:lvlJc w:val="left"/>
      <w:pPr>
        <w:ind w:left="7569" w:hanging="260"/>
      </w:pPr>
      <w:rPr>
        <w:rFonts w:hint="default"/>
        <w:lang w:val="fr-FR" w:eastAsia="en-US" w:bidi="ar-SA"/>
      </w:rPr>
    </w:lvl>
  </w:abstractNum>
  <w:num w:numId="1" w16cid:durableId="46720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3448"/>
    <w:rsid w:val="002B3448"/>
    <w:rsid w:val="002E67A1"/>
    <w:rsid w:val="003362DA"/>
    <w:rsid w:val="005F2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0CD01E"/>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4"/>
      <w:outlineLvl w:val="0"/>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23" w:hanging="27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4606</Words>
  <Characters>25336</Characters>
  <Application>Microsoft Office Word</Application>
  <DocSecurity>0</DocSecurity>
  <Lines>211</Lines>
  <Paragraphs>59</Paragraphs>
  <ScaleCrop>false</ScaleCrop>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B3204893-EN-BERLISI 05 91S.docx</dc:title>
  <cp:lastModifiedBy>Me Julie CURTO</cp:lastModifiedBy>
  <cp:revision>2</cp:revision>
  <dcterms:created xsi:type="dcterms:W3CDTF">2024-12-28T14:30:00Z</dcterms:created>
  <dcterms:modified xsi:type="dcterms:W3CDTF">2024-12-28T14:30:00Z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2019</vt:lpwstr>
  </property>
  <property fmtid="{D5CDD505-2E9C-101B-9397-08002B2CF9AE}" pid="4" name="LastSaved">
    <vt:filetime>2024-12-28T00:00:00Z</vt:filetime>
  </property>
  <property fmtid="{D5CDD505-2E9C-101B-9397-08002B2CF9AE}" pid="5" name="Producer">
    <vt:lpwstr>Microsoft® Word 2019; modified using iText® 5.4.4 ©2000-2013 1T3XT BVBA (AGPL-version)</vt:lpwstr>
  </property>
</Properties>
</file>